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2024-05-03T12:03:19Z</dcterms:modified>
</cp:coreProperties>
</file>