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więc i mówią do Niego: Nauczycielu, wiemy, że jesteś szczery i nie zabiegasz o nikogo; nie masz bowiem względu na osobę,* ** ale w prawdzie*** nauczasz drogi Bożej; czy wolno płacić podatek**** ***** cesarzowi,****** czy nie? Mamy płacić czy nie płacić?*******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przyszedłszy mówią mu: Nauczycielu, wiemy, że prawdziwy* jesteś i nie (troszczysz) się o nikogo, nie bowiem patrzysz na (wygląd)** ludzi, ale w prawdzie drogi Boga nauczasz. Jest dozwolone dać pogłówne Cezarowi czy nie? Mamy dać czy nie mamy dać? </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Przyszli więc z takim pytaniem: Nauczycielu, wiemy, że jesteś szczery i nie zależy Ci na czyjejkolwiek opinii. Nie kierujesz się pozorami, ale zgodnie z prawdą nauczasz, jak postępować według woli Bożej. Powiedz, czy wolno płacić podatek cesarzowi, czy nie? Mamy płacić czy nie płacić?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przyszli, powiedzieli mu: Nauczycielu, wiemy, że jesteś prawdziwy i nie zważasz na nikogo. Nie oglądasz się bowiem na osobę ludzką, ale drogi Bożej w prawdzie uczysz. Czy wolno płacić podatek cesarzowi, czy nie? Mamy go płacić czy nie płacić?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przyszedłszy rzekli mu: Nauczycielu! wiemy, żeś jest prawdziwy, a nie dbasz na nikogo; albowiem nie patrzysz na osobę ludzką, ale w prawdzie drogi Bożej uczysz; godziż się dać czynsz cesarzowi, czyli nie? Mamyż go dać, czyli nie dać?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Którzy przyszedszy, rzekli mu: Nauczycielu, wiemy, żeś prawdziwy jest, a nie dbasz ni na kogo, abowiem nie patrzasz na osobę ludzką, ale w prawdzie drogi Bożej nauczasz. Godziż się dać dań cesarzowi czyli 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Ci przyszli i rzekli do Niego: Nauczycielu, wiemy, że jesteś prawdomówny i na nikim ci nie zależy. Bo nie oglądasz się na osobę ludzką, lecz drogi Bożej w prawdzie nauczasz. Czy wolno płacić podatek cezarowi, czy nie? Mamy płacić czy nie płacić?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przyszli, powiedzieli: Nauczycielu, wiemy, że jesteś wierny prawdzie i nie zważasz na nikogo. Nie zwracasz bowiem uwagi na wygląd ludzi, lecz zgodnie z prawdą nauczasz drogi Bożej. Czy wolno płacić podatek cesarzowi, czy nie? Płacić czy nie płacić?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Przyszli i powiedzieli do Niego: „Nauczycielu, wiemy, że jesteś prawdomówny i nie dbasz o niczyje względy. Nie zważasz na ludzką opinię, lecz nauczasz drogi Bożej zgodnie z prawdą. Czy wolno płacić podatek cesarzowi, czy też nie? Mamy płacić czy nie płacić?”.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przyszli, zapytali Go: „Nauczycielu, wiemy, że jesteś szczery i że nie zależy Ci na kimś tam, bo nie zwracasz uwagi na powierzchowność ludzi, lecz z całą prawdą uczysz drogi Bożej. Czy trzeba płacić podatek Cezarowi, czy nie? Mamy płacić czy nie płacić?”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Przyszli więc i powiedzieli: - Wiemy, Nauczycielu, że jesteś uczciwym człowiekiem, na ludzkiej opinii ci nie zależy, nie zważasz na pozory, ale zgodnie z prawdą nauczasz, jak spełniać wolę Boga. Co powiesz - czy należy płacić podatek cesarzowi, czy nie? - Mamy więc płacić, czy 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przyszli, mówią Mu: - Nauczycielu, wiemy, że mówisz prawdę i na nikim Ci nie zależy, bo nie ogądasz się na osoby, ale nauczasz prawdziwej drogi Bożej. Czy godzi się płacić podatek cesarzowi, czy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Підступили та й кажуть Йому: Вчителю, знаємо, що ти є щирий, ні на кого не зважаєш, на людські обличчя не дивишся, а правдиво учиш дорогам Божим. Чи годиться ото давати податок кесареві, чи ні? Давати нам чи не давати?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przyszli, mówią mu: Nauczycielu; wiemy, że jesteś prawdziwy oraz nie zważasz na nikogo; bo nie patrzysz na maskę ludzi, ale w prawdzie nauczasz drogi Boga; dozwolone jest dać podatek cesarzowi, czy nie? Mamy dać, czy nie dawać?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Przyszli i powiedzieli do Niego: "Rabbi, wiemy, że mówisz prawdę i nie przejmujesz się tym, co ludzie sobie o tobie pomyślą, ponieważ nie zwracasz uwagi na pozycję danej osoby, ale prawdziwie nauczasz, jaka jest droga Boża. Czy Tora mówi, że należy płacić podatki cesarzowi rzymskiemu, czy też 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przybywszy, powiedzieli do niego: ”Nauczycielu, wiemy, że jesteś prawdomówny i nie zważasz na nikogo, gdyż nie patrzysz na wygląd zewnętrzny ludzi, lecz zgodnie z prawdą nauczasz drogi Bożej: Czy wolno płacić podatek pogłówny Cezarowi, czy 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—Nauczycielu! Wiemy, że nie boisz się mówić prawdy. Nie dostosowujesz się też do opinii ludzi ani do ich oczekiwań, lecz uczciwie nauczasz Bożych prawd. Powiedz nam więc, czy słusznie płacimy podatki Rzymowi, czy 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masz (...) względu na osobę, οὐ γὰρ βλέπεις εἰς πρόσωπον ἀνθρώπων, idiom hbr.: nie patrzysz (...) na oblicze ludzi.</w:t>
      </w:r>
    </w:p>
  </w:footnote>
  <w:footnote w:id="3">
    <w:p>
      <w:pPr>
        <w:pStyle w:val="FootnoteText"/>
      </w:pPr>
      <w:r>
        <w:rPr>
          <w:rStyle w:val="FootnoteReference"/>
        </w:rPr>
        <w:t>2)</w:t>
      </w:r>
      <w:r>
        <w:t xml:space="preserve"> </w:t>
      </w:r>
      <w:r>
        <w:t>&lt;x&gt;50 1:17&lt;/x&gt;</w:t>
      </w:r>
    </w:p>
  </w:footnote>
  <w:footnote w:id="4">
    <w:p>
      <w:pPr>
        <w:pStyle w:val="FootnoteText"/>
      </w:pPr>
      <w:r>
        <w:rPr>
          <w:rStyle w:val="FootnoteReference"/>
        </w:rPr>
        <w:t>3)</w:t>
      </w:r>
      <w:r>
        <w:t xml:space="preserve"> </w:t>
      </w:r>
      <w:r>
        <w:t>&lt;x&gt;510 13:10&lt;/x&gt;; &lt;x&gt;510 18:25-26&lt;/x&gt;</w:t>
      </w:r>
    </w:p>
  </w:footnote>
  <w:footnote w:id="5">
    <w:p>
      <w:pPr>
        <w:pStyle w:val="FootnoteText"/>
      </w:pPr>
      <w:r>
        <w:rPr>
          <w:rStyle w:val="FootnoteReference"/>
        </w:rPr>
        <w:t>4)</w:t>
      </w:r>
      <w:r>
        <w:t xml:space="preserve"> </w:t>
      </w:r>
      <w:r>
        <w:t>podatek, κῆνσος, tj. podatek pogłówny.</w:t>
      </w:r>
    </w:p>
  </w:footnote>
  <w:footnote w:id="6">
    <w:p>
      <w:pPr>
        <w:pStyle w:val="FootnoteText"/>
      </w:pPr>
      <w:r>
        <w:rPr>
          <w:rStyle w:val="FootnoteReference"/>
        </w:rPr>
        <w:t>5)</w:t>
      </w:r>
      <w:r>
        <w:t xml:space="preserve"> </w:t>
      </w:r>
      <w:r>
        <w:t>&lt;x&gt;470 17:25&lt;/x&gt;</w:t>
      </w:r>
    </w:p>
  </w:footnote>
  <w:footnote w:id="7">
    <w:p>
      <w:pPr>
        <w:pStyle w:val="FootnoteText"/>
      </w:pPr>
      <w:r>
        <w:rPr>
          <w:rStyle w:val="FootnoteReference"/>
        </w:rPr>
        <w:t>6)</w:t>
      </w:r>
      <w:r>
        <w:t xml:space="preserve"> </w:t>
      </w:r>
      <w:r>
        <w:t>&lt;x&gt;490 2:1&lt;/x&gt;; &lt;x&gt;490 3:1&lt;/x&gt;</w:t>
      </w:r>
    </w:p>
  </w:footnote>
  <w:footnote w:id="8">
    <w:p>
      <w:pPr>
        <w:pStyle w:val="FootnoteText"/>
      </w:pPr>
      <w:r>
        <w:rPr>
          <w:rStyle w:val="FootnoteReference"/>
        </w:rPr>
        <w:t>7)</w:t>
      </w:r>
      <w:r>
        <w:t xml:space="preserve"> </w:t>
      </w:r>
      <w:r>
        <w:t>Co do wysokości opodatkowania za czasów Jezusa, zob. &lt;x&gt;480 2:14&lt;/x&gt;.</w:t>
      </w:r>
    </w:p>
  </w:footnote>
  <w:footnote w:id="9">
    <w:p>
      <w:pPr>
        <w:pStyle w:val="FootnoteText"/>
      </w:pPr>
      <w:r>
        <w:rPr>
          <w:rStyle w:val="FootnoteReference"/>
        </w:rPr>
        <w:t>8)</w:t>
      </w:r>
      <w:r>
        <w:t xml:space="preserve"> </w:t>
      </w:r>
      <w:r>
        <w:t>Szczery, prawdomówny.</w:t>
      </w:r>
    </w:p>
  </w:footnote>
  <w:footnote w:id="10">
    <w:p>
      <w:pPr>
        <w:pStyle w:val="FootnoteText"/>
      </w:pPr>
      <w:r>
        <w:rPr>
          <w:rStyle w:val="FootnoteReference"/>
        </w:rPr>
        <w:t>9)</w:t>
      </w:r>
      <w:r>
        <w:t xml:space="preserve"> </w:t>
      </w:r>
      <w:r>
        <w:t>Jak wyglądają z zewnątrz.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2024-04-28T17:37:40Z</dcterms:modified>
</cp:coreProperties>
</file>