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przeciwległej, czyli z jednej i z drugiej strony bramy dziedzińca, zasłony też rozciągały się na piętnaście łokci i zawieszone były na trzech słupach, stojących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bramy dziedzińca, z jednej i z drugiej strony, piętnaście łokci zasłon,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stronie, stąd i zowąd u bramy sieni, opon piętnaście łokci, słupów do nich trzy, także 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(bo między obiema uczynił wchodzenie do przybytku) były takież opony na piętnaście łokci, i trzy słupy, i tak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zaś na drugą ścianę boczną miały piętnaście łokci, a do tego miały też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stronę, po obu stronach bramy dziedzińca, zasłony też miały piętnaście łokci,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po drugiej stronie, po obu stronach bramy,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- aż do wejścia na dziedziniec - podobnie: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i drugiej [strony] bramy dziedzińca - na drugim odcinku tkaniny [miały długość] piętnaście ama, ich słupów [było] trzy i ich podstaw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рамен галузки, що виходять, три з цього і три з цього, рівні одні 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drugiego skrzydła, na drugiej stronie wrót dziedzińca piętnaście łokci osłon, trzy ich słupy oraz 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skrzydle bramy dziedzińca – po tej i po tamtej stronie – zasłony miały piętnaście łokci.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2024-04-29T23:11:34Z</dcterms:modified>
</cp:coreProperties>
</file>