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Wole jej wraz z pierzem* usunie i rzuci je** obok ołtarza, od strony wschodniej, na popielisko,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pierze, </w:t>
      </w:r>
      <w:r>
        <w:rPr>
          <w:rtl/>
        </w:rPr>
        <w:t>נֹוצה</w:t>
      </w:r>
      <w:r>
        <w:rPr>
          <w:rtl w:val="0"/>
        </w:rPr>
        <w:t xml:space="preserve"> (notsa h), ale może oznaczać wnętrzności (od </w:t>
      </w:r>
      <w:r>
        <w:rPr>
          <w:rtl/>
        </w:rPr>
        <w:t>יצא</w:t>
      </w:r>
      <w:r>
        <w:rPr>
          <w:rtl w:val="0"/>
        </w:rPr>
        <w:t>), bo o ile nie ma w tym przypadku mowy o wnętrznościach, o tyle mało prawdopodobne, aby kapłan zajmował się pierzem każdego ptaka, &lt;x&gt;30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אתֹו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2024-04-26T05:53:55Z</dcterms:modified>
</cp:coreProperties>
</file>