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jednak Jonasza wielkim przygnębieniem* i oburzyło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Zasmuciło (…) przygnębieniem : pod. konstrukcja w &lt;x&gt;410 2:10&lt;/x&gt;; &lt;x&gt;390 4:1&lt;/x&gt;L. We frg. kilkakrotnie i w różnych kontekstach pojawia się </w:t>
      </w:r>
      <w:r>
        <w:rPr>
          <w:rtl/>
        </w:rPr>
        <w:t>רָעָה</w:t>
      </w:r>
      <w:r>
        <w:rPr>
          <w:rtl w:val="0"/>
        </w:rPr>
        <w:t xml:space="preserve"> (ra‘a h), które w zależności od kontekstu tłumaczono: zło w &lt;x&gt;390 3:10&lt;/x&gt;; zasmucenie w &lt;x&gt;390 4:1&lt;/x&gt;, przygnębienie w dalszej części &lt;x&gt;390 4:1&lt;/x&gt;. W hbr. można zauważyć grę słowną: Niniwa zaniechała zła, w odpowiedzi Bóg zaniechał zła, co wywołało wielką złość u Jonasza.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2024-04-29T15:55:43Z</dcterms:modified>
</cp:coreProperties>
</file>