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46"/>
        <w:gridCol w:w="470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― mąż jej, sprawiedliwym będąc i nie życząc jej zawstydzenia, chciał potajemnie oddalić 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natomiast, jej mąż, jako (człowiek) prawy,* nie zamierzał jej zniesławiać,** *** lecz chciał się z nią bez rozgłosu rozwieść.****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Józef zaś, mąż jej, sprawiedliwym będąc i nie chcąc jej wystawiać na pokaz*, postanowił skrycie oddalić ją.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Józef zaś mąż jej sprawiedliwy będąc i nie chcąc jej wystawić na pokaz chciał potajemnie opuścić ją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sprawiedliwy, pod. jak Zachariasz, Elżbieta (&lt;x&gt;490 1:6&lt;/x&gt;) i Symeon (&lt;x&gt;490 2:25&lt;/x&gt;).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wytaczać jej procesu.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&lt;x&gt;490 1:6&lt;/x&gt;; &lt;x&gt;490 2:25&lt;/x&gt;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Zob. &lt;x&gt;50 22:23&lt;/x&gt;. Prawość Józefa polegała na tym, że wiedząc o stanie Marii, nie chciał, by uznano ją za niewierną. Jednocześnie, na tym etapie, nie chciał uczestniczyć w planie Bożym. Powodował nim strach (w. 20). Jego cichy rozwód mógł się dokonać na podstawie &lt;x&gt;50 24:1&lt;/x&gt;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 22:20-21&lt;/x&gt;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Na niesławę.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2024-04-23T09:39:29Z</dcterms:modified>
</cp:coreProperties>
</file>