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Sprawiedliwy* jest roztropny względem domu bezbożnika** – na bezbożnych kieruje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Sprawiedliwy, </w:t>
      </w:r>
      <w:r>
        <w:rPr>
          <w:rtl/>
        </w:rPr>
        <w:t>צַּדִיק</w:t>
      </w:r>
      <w:r>
        <w:rPr>
          <w:rtl w:val="0"/>
        </w:rPr>
        <w:t xml:space="preserve"> (tsadiq), może odnosić się do Boga lub do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domu bezbożnika : wg G: serc bezbożników, καρδίας ἀσεβῶν.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2024-05-04T18:40:58Z</dcterms:modified>
</cp:coreProperties>
</file>