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Splądrował jak w ogrodzie* jego** szałas,*** zrujnował miejsce jego spotkań. Sprawił, że zapomniano na Syjonie o święcie i szabacie – i odtrącił**** w porywie swego gniewu***** króla oraz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ogród, ּ</w:t>
      </w:r>
      <w:r>
        <w:rPr>
          <w:rtl/>
        </w:rPr>
        <w:t>גַן</w:t>
      </w:r>
      <w:r>
        <w:rPr>
          <w:rtl w:val="0"/>
        </w:rPr>
        <w:t xml:space="preserve"> (gan), być może </w:t>
      </w:r>
      <w:r>
        <w:rPr>
          <w:rtl/>
        </w:rPr>
        <w:t>גֶפֶן</w:t>
      </w:r>
      <w:r>
        <w:rPr>
          <w:rtl w:val="0"/>
        </w:rPr>
        <w:t xml:space="preserve"> (gefen), czyli: winnica, por. G (zob. &lt;x&gt;220 15:33&lt;/x&gt;; &lt;x&gt;290 34:4&lt;/x&gt;; &lt;x&gt;330 15:2&lt;/x&gt;, 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swój (w obu przypadkach w wersecie).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budkę, ׂ</w:t>
      </w:r>
      <w:r>
        <w:rPr>
          <w:rtl/>
        </w:rPr>
        <w:t>שְך</w:t>
      </w:r>
      <w:r>
        <w:rPr>
          <w:rtl w:val="0"/>
        </w:rPr>
        <w:t xml:space="preserve"> (soch), hl, prawdopodobnie inna forma </w:t>
      </w:r>
      <w:r>
        <w:rPr>
          <w:rtl/>
        </w:rPr>
        <w:t>סֻּכָה</w:t>
      </w:r>
      <w:r>
        <w:rPr>
          <w:rtl w:val="0"/>
        </w:rPr>
        <w:t xml:space="preserve"> (sukka h).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wzgardził.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ּ</w:t>
      </w:r>
      <w:r>
        <w:rPr>
          <w:rtl/>
        </w:rPr>
        <w:t>בְזַעַם־אַּפֹו</w:t>
      </w:r>
      <w:r>
        <w:rPr>
          <w:rtl w:val="0"/>
        </w:rPr>
        <w:t xml:space="preserve"> (bez‘am-’appo), we wzburzeniu swego gniewu.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2024-04-27T07:40:39Z</dcterms:modified>
</cp:coreProperties>
</file>