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zawróci do ziemi egipskiej! Asyria będzie mu królem, gdyż nie chcieli zawrócić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 on do ziemi Egiptu, ale Asyryjczyk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królem, gdyż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wrócić się do ziemi Egipskiej: ale Assur będzie królem jego, przeto że się nie chcieli nawrócić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do ziemie Egipskiej a sam Assur król jego: bo się nie chcieli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do ziemi egipskiej, Aszszur będzie mu królem, bo się nie chciał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do ziemi egipskiej, i Assur będzie ich królem, bo nie chcieli się do mnie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powróci do ziemi egipskiej, ale Asyria będzie jego królem, bo nie chcieli powrócić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ziemi egipskiej, lecz Asyria będzie jego królem, bo nie chcieli nawrócić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[Efraim] powróci do Egiptu, a królem jego będzie Asyryjczyk,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поселився в Єгипті, ассур і він його цар, бо не забажав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wrócić do Micraim! Lecz Aszur – to jego król,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on do ziemi egipskiej, lecz jego królem będzie Asyria. gdyż nie chcieli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2024-04-29T13:25:09Z</dcterms:modified>
</cp:coreProperties>
</file>