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2024-03-29T10:24:04Z</dcterms:modified>
</cp:coreProperties>
</file>