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się stało, a uśmierzył się gniew króla Aswerusa, wspomniał na Wasty, i na to, co była uczyniła, i na dekret, który był wydan przeciwko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dworzanie królewscy, słudzy jego: Niech poszukają królowi dzieweczek, panienek pięknej urody;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postanowi król starostów po wszystkich krainach królestwa swego, którzyby zebrali wszystkie dzieweczki, panienki pięknej urody, do Susan miasta stołecznego, do domu białych głów, pod dozór Hegaja, komornika królewskiego, stróża białych głó w, a dali im ochędostwa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panienka, któraby się upodobała w oczach królewskich, niech króluje miasto Wasty. I podobała się ta rzecz w oczach królewskich, i uczynił tak.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Żyd w Susan, w mieście stołecznem, imieniem Mardocheusz, syn Jaira, syna Symhy, syna Cysowego, z pokolenia Benjaminowego.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był przeniesiony z Jeruzalemu z innymi pojmanymi, którzy byli przeniesieni z Jechonijaszem, królem Judzkim, których był zawiódł w niewolę Nabuchodonozor,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rozgłosiło rozkazanie królewskie, i wyrok jego, i gdy zgromadzono panienek wiele do Susan, miasta stołecznego, pod dozór Hegaja, wzięto też i Esterę do domu królewskiego pod dozór Hegaja, stróża białych głów.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podobała mu się ona dzieweczka, a znalazła łaskę w oczach jego. Przetoż jej zaraz kazał dać ochędostwo jej, i dział jej, i siedm panienek nadobnych kazał jej dać z domu królewskiego; nadto opatrzenia jej i panienek jej polepszył w domu białogłowskim.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oznajmiła Ester ludu swego, ani rodziny swej; albowiem jej był Mardocheusz przykazał, aby nie oznajmowała.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Mardocheusz na każdy dzień przechadzał się przed sienią domu białogłowskiego, chcąc się dowiedzieć, jakoby się miała Ester, i coby się z nią działo.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panna wchodziła do króla, a o cokolwiek rzekła, to jej dano, aby z tem poszła z domu białogłowskiego aż do pokoju królewskiego.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wieczór wchadzała, a rano się zaś wracała do drugiego domu białogłowskiego pod straż Saasgazy, komornika królewskiego, stróża założnic; nie wchadzała więcej do króla, ale jeźli się upodobała królowi, przyzywano jej z imienia.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wzięta jest Ester do króla Aswerusa, do domu jego królewskiego, miesiąca dziesiątego, (ten jest miesiąc Tebet,) roku siódmego królowania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rozmiłował się król Estery nad wszystkie białe głowy, a miała łaskę i miłość u niego nad wszystkie panny, tak, iż włożył koronę królewską na głowę jej, a uczynił ją królową miasto Wasty.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sprawił król ucztę wielką na wszystkich książąt swoich, i sług swoich, to jest ucztę Estery, i dał odpoczynek krainom, i rozdawał dary, tak jako przystoi królowi.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powtóre zebrane były panny, a Mardocheusz siedział u bramy królewskiej;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 nie oznajmiła była narodu swego, ani ludu swego, jako jej był rozkazał Mardocheusz; bo rozkazaniu Mardocheuszowemu dosyć czyniła Ester, jako gdy ją wychowywał u siebie.)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oneż dni, gdy Mardocheusz siedział u bramy królewskiej, rozgniewał się Bigtan i Teres, dwaj komornicy królewscy, z tych, którzy strzegli progu, i szukali jakoby ściągnąć rękę na króla Aswerusa.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dowiedziawszy się Mardocheusz, oznajmił to królowej Esterze, a Estera to oznajmiła królowi imieniem Mardocheuszowem.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tego dowiadywano, znalazło się tak; i powieszono obu na szubienicy, a napisano to w księgach kroniki przed królem.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 Rozdział 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2024-06-01T07:15:06Z</dcterms:modified>
</cp:coreProperties>
</file>