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12</w:t>
      </w:r>
    </w:p>
    <w:p>
      <w:pPr>
        <w:keepNext/>
        <w:jc w:val="left"/>
      </w:pPr>
    </w:p>
    <w:p>
      <w:pPr>
        <w:pStyle w:val="Nagwek3"/>
        <w:keepNext/>
        <w:jc w:val="center"/>
      </w:pPr>
      <w:r>
        <w:rPr>
          <w:b/>
        </w:rPr>
        <w:t>Prorocka nagana dla Dawida i jego pokuta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posłał Natana do Dawida, a ten, przyszedłszy do niego, powiedział: W pewnym mieście było dwóch mężów, Jeden bogaty, a drugi ubogi.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miał bardzo wiele owiec i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 zaś nie miał nic oprócz jednej małej owieczki, Którą nabył. I żywił ją, a ona wyrosła u niego Razem z jego dziećmi. Z chleba jego jadała, z kubka jego piła, Na łonie jego sypiała i była mu jak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wybuchnął wielkim gniewem na owego męża i rzekł do Natana: Jako żyje Pan, że na śmierć zasługuje mąż, który tak postąpił.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owieczkę zapłaci w czwórnasób, dlatego że taką rzecz uczynił i że nie miał litości.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Natan rzekł do Dawida: Ty jesteś tym mężem. Tak mówi Pan, Bóg Izraela: Ja cię namaściłem na króla nad Izraelem i Ja cię wyrwałem z ręki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ci dom twojego pana i żony twojego pana na twoje łono, dałem ci dom Izraela i Judy, a jeśliby to było za mało, byłbym dodał ci jeszcze nadto.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wzgardziłeś słowem Pana, popełniając zło w oczach jego? Uriasza Chetejczyka zabiłeś mieczem, jego żonę wziąłeś sobie za żonę, jego zaś zabiłeś mieczem Ammonitów.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już nie odstąpi miecz od twojego domu po wszystkie czasy, dlatego że mną wzgardziłeś i wziąłeś żonę Uriasza Chetejczyka, aby była twoją żoną.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wzbudzę zło w twoim własnym domu przeciwko tobie, na twoich oczach zabiorę ci twoje żony i dam je innemu, i będzie z nimi obcował w blasku tego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wprawdzie uczyniłeś to potajemnie, Ja jednak uczynię to wobec całego Izraela i przy blasku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Dawid do Natana: Zgrzeszyłem wobec Pana. Natan zaś rzekł do Dawida: Pan również odpuścił twój grzech,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czynem tym zbezcześciłeś Pana, przeto syn, który ci się urodził, musi umrzeć.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Natan poszedł do swojego domu. Pan zaś ugodził dziecię, które żona Uriasza urodziła Dawidowi, i ono zachorowało.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błagał Boga za dziecięciem i pościł Dawid, a gdy przyszedł na noc do domu, leżał całą noc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przystąpili do niego starsi jego domu, aby go podnieść z ziemi, nie chciał wstać i nie spożył z nimi posiłku.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dziecię zmarło. Słudzy Dawida bali się powiedzieć mu, że dziecię nie żyje, myśleli bowiem: Jeżeli oto, póki jeszcze dziecię żyło i my mówiliśmy do niego, on nie słuchał naszego głosu, to jakże mamy mu powiedzieć, że dziecię nie żyje? Gotów jeszcze zrobić sobie coś złego.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spostrzegł, że jego słudzy szepcą między sobą, domyślił się więc, że dziecię nie żyje. I zapytał Dawid swoich sług: Czy dziecię zmarło? A oni odpowiedzieli: Zmarło.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podniósł się z ziemi, umył się, namaścił, zmienił swoje szaty i poszedł do świątyni Pana, aby mu oddać pokłon. Potem powrócił do swojego domu, poprosił o posiłek, a gdy mu go podano, spożył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do niego jego słudzy: Co ma znaczyć to, co uczyniłeś? Dopóki dziecię żyło, pościłeś i płakałeś, a gdy dziecię zmarło, podniosłeś się i spożyłeś posiłek?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Dopóki dziecię żyło, pościłem i płakałem, gdyż myślałem sobie: Kto wie? Może Pan zlituje się nade mną i dziecię będzie żyło?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gdy zmarło, po cóż mam pościć? Czy mogę je jeszcze przywrócić życiu? To ja pójdę za nim, a nie ono powróci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pocieszał Batszebę, swoją żonę, przybył do niej i obcował z nią. Potem ona urodziła syna, któremu nadał imię Salomon. A Pan go 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poruczył go opiece Natana, proroka, a ten nadał mu imię Jedidia (Umiłowany przez Pana) ze względu na Pana.</w:t>
      </w:r>
      <w:r>
        <w:t xml:space="preserve"> </w:t>
      </w:r>
    </w:p>
    <w:p>
      <w:pPr>
        <w:pStyle w:val="Nagwek3"/>
        <w:keepNext/>
        <w:spacing w:line="360" w:lineRule="auto"/>
        <w:jc w:val="center"/>
      </w:pPr>
      <w:r>
        <w:rPr>
          <w:b/>
        </w:rPr>
        <w:t>Zwycięstwo nad Ammonitami</w:t>
      </w:r>
    </w:p>
    <w:p>
      <w:pPr>
        <w:keepNext w:val="0"/>
        <w:spacing w:line="360" w:lineRule="auto"/>
        <w:jc w:val="both"/>
      </w:pP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Joab stoczył bitwę o Rabbę ammonicką i zdobył stolicę królewską.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Wyprawił więc Joab posłańców do Dawida z doniesieniem: Stoczyłem bitwę o Rabbę i właśnie zdobyłem dzielnicę wód.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więc resztę zbrojnego ludu i oblegnij pozostałą część miasta, i zdobądź ją, abym to nie ja zdobył miasto i aby nie nazywano go moim imieniem.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tedy Dawid cały zbrojny lud i podążył do Rabby, stoczył o nią bitwę i zdobył 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zdjął koronę z głowy Milkoma; waga jej wynosiła talent złota, nadto miała ona w sobie kamień drogocenny. Dawid włożył ją sobie na głowę, wyniósł też z miasta bardzo wiele łupów.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wyprowadzić mieszkańców miasta i zatrudnił ich przy piłach do obróbki kamienia i przy żelaznych zębatych młockarniach, i przy żelaznych siekierach, zapędził ich też do wyrobu cegieł. Tak postąpił Dawid ze wszystkimi miastami Ammonitów, po czym Dawid powrócił wraz z całym zbrojnym ludem do Jeruzalemu.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 Rozdział 12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2024-05-31T21:08:06Z</dcterms:modified>
</cp:coreProperties>
</file>