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Nauka Dwunastu Apostołów</w:t>
      </w:r>
    </w:p>
    <w:p>
      <w:pPr>
        <w:pStyle w:val="Nagwek2"/>
        <w:keepNext/>
        <w:jc w:val="center"/>
      </w:pPr>
      <w:r>
        <w:t>Prolog</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Nauczanie Pana </w:t>
      </w:r>
      <w:r>
        <w:rPr>
          <w:rFonts w:ascii="Times New Roman" w:eastAsia="Times New Roman" w:hAnsi="Times New Roman" w:cs="Times New Roman"/>
          <w:noProof w:val="0"/>
          <w:color w:val="A9A9A9"/>
          <w:sz w:val="24"/>
        </w:rPr>
        <w:t>[Jezusa Chrystusa przekazane]</w:t>
      </w:r>
      <w:r>
        <w:rPr>
          <w:rFonts w:ascii="Times New Roman" w:eastAsia="Times New Roman" w:hAnsi="Times New Roman" w:cs="Times New Roman"/>
          <w:noProof w:val="0"/>
          <w:sz w:val="24"/>
        </w:rPr>
        <w:t xml:space="preserve"> narodom przez dwunastu apostołów.</w:t>
      </w:r>
      <w:r>
        <w:t xml:space="preserve"> </w:t>
      </w:r>
    </w:p>
    <w:p>
      <w:pPr>
        <w:pStyle w:val="Nagwek2"/>
        <w:keepNext/>
        <w:jc w:val="center"/>
      </w:pPr>
      <w:r>
        <w:t>Rozdział I</w:t>
      </w:r>
    </w:p>
    <w:p>
      <w:pPr>
        <w:pStyle w:val="Nagwek3"/>
        <w:keepNext/>
        <w:jc w:val="center"/>
      </w:pPr>
      <w:r>
        <w:rPr>
          <w:b/>
        </w:rPr>
        <w:t>Dwie drogi</w:t>
      </w:r>
    </w:p>
    <w:p>
      <w:pPr>
        <w:pStyle w:val="Nagwek4"/>
        <w:keepNext/>
        <w:jc w:val="center"/>
      </w:pPr>
      <w:r>
        <w:rPr>
          <w:b/>
        </w:rPr>
        <w:t>Droga życia</w:t>
      </w:r>
    </w:p>
    <w:p>
      <w:pPr>
        <w:keepNext w:val="0"/>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Istnieją dwie drogi</w:t>
      </w:r>
      <w:r>
        <w:rPr>
          <w:rStyle w:val="FootnoteReference"/>
          <w:sz w:val="20"/>
        </w:rPr>
        <w:footnoteReference w:customMarkFollows="1" w:id="2"/>
        <w:t xml:space="preserve">1)</w:t>
      </w:r>
      <w:r>
        <w:rPr>
          <w:rFonts w:ascii="Times New Roman" w:eastAsia="Times New Roman" w:hAnsi="Times New Roman" w:cs="Times New Roman"/>
          <w:noProof w:val="0"/>
          <w:sz w:val="24"/>
        </w:rPr>
        <w:t>: droga życia i droga śmierci, a różnica pomiędzy nimi jest bardzo duża.</w:t>
      </w:r>
      <w:r>
        <w:rPr>
          <w:sz w:val="20"/>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jest droga życia: po pierwsze, będziesz kochał Boga, który cię uczynił, po drugie, [będziesz kochał] bliźniego swego jak siebie samego. Wszystkiego zaś, czego nie chiałbyś by cię spotkało, tego drugiemu nie czyń.</w:t>
      </w:r>
      <w:r>
        <w:rPr>
          <w:sz w:val="20"/>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tej nauki: Błogosławcie tych, którzy was przeklinają, módlcie się za waszych wrogów, pośćcie za waszych prześladowców. Jaką bowiem łaskawość okazujecie, jeśli kochacie tych, którzy was kochają. Czyż poganie nie czynią podobnie? Wy zaś kochajcie tych, którzy was nienawidzą, a nie będziecie mieć wrogów.</w:t>
      </w:r>
      <w:r>
        <w:rPr>
          <w:sz w:val="20"/>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Powstrzymujcie się od doczesnych, cielesnych pragnień. Kto by cię uderzył w prawy policzek, nadstaw i drugi, a będziesz doskonały. Jeśli ktoś zmuszałby ciebie do przejście jednej mili, idź z nim dwie. Jeśli zabrałby ktoś twoją koszulę, oddaj mu również płaszcz. Jeśli ktoś zabrałby tobie cokolwiek, nie żądaj zwrotu, nawet gdybyś mógł to na nim wymusić. </w:t>
      </w:r>
      <w:r>
        <w:rPr>
          <w:sz w:val="20"/>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Każdemu proszącemu daj, a nie żądaj zwrotu. Każdemu bowiem Ojciec chce dać z Jego daru łaski. Błogosławiony dający zgodnie z przykazaniem, taki jest niewinny. Biada zaś biorącemu, co prawda jeżeli ma rzeczywistą potrzebę, wtedy jest niewinny. Jeżeli jednak powodowany zachłannością wziął, otrzyma karę. Ku zawstydzeniu w ciemnicy zostanie wypytany o to co uczynił i nie wyjdzie stamtąd, aż odda wszystko, co do ostatniego grosza</w:t>
      </w:r>
      <w:r>
        <w:rPr>
          <w:rStyle w:val="FootnoteReference"/>
          <w:sz w:val="20"/>
        </w:rPr>
        <w:footnoteReference w:customMarkFollows="1" w:id="3"/>
        <w:t xml:space="preserve">2)</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Powiedziano przecież o tym: "Niech potem twych rąk przesiąknie twa jałmużna, zanim upewnisz się, komu ją dać".</w:t>
      </w:r>
      <w:r>
        <w:rPr>
          <w:sz w:val="20"/>
        </w:rPr>
        <w:t xml:space="preserve"> </w:t>
      </w:r>
    </w:p>
    <w:p>
      <w:pPr>
        <w:pStyle w:val="Nagwek2"/>
        <w:keepNext/>
        <w:jc w:val="center"/>
      </w:pPr>
      <w:r>
        <w:t>Rozdział II</w:t>
      </w:r>
    </w:p>
    <w:p>
      <w:pPr>
        <w:keepNext/>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zaś przykazanie tej nauki: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mordował</w:t>
      </w:r>
      <w:r>
        <w:rPr>
          <w:rStyle w:val="FootnoteReference"/>
          <w:sz w:val="20"/>
        </w:rPr>
        <w:footnoteReference w:customMarkFollows="1" w:id="4"/>
        <w:t xml:space="preserve">3)</w:t>
      </w:r>
      <w:r>
        <w:rPr>
          <w:rFonts w:ascii="Times New Roman" w:eastAsia="Times New Roman" w:hAnsi="Times New Roman" w:cs="Times New Roman"/>
          <w:noProof w:val="0"/>
          <w:sz w:val="24"/>
        </w:rPr>
        <w:t>, nie będziesz cudzołożył</w:t>
      </w:r>
      <w:r>
        <w:rPr>
          <w:rStyle w:val="FootnoteReference"/>
          <w:sz w:val="20"/>
        </w:rPr>
        <w:footnoteReference w:customMarkFollows="1" w:id="5"/>
        <w:t xml:space="preserve">4)</w:t>
      </w:r>
      <w:r>
        <w:rPr>
          <w:rFonts w:ascii="Times New Roman" w:eastAsia="Times New Roman" w:hAnsi="Times New Roman" w:cs="Times New Roman"/>
          <w:noProof w:val="0"/>
          <w:sz w:val="24"/>
        </w:rPr>
        <w:t>, nie będziesz gwałcił dzieci, nie będziesz dopuszczał się nierządu, nie będziesz kradł</w:t>
      </w:r>
      <w:r>
        <w:rPr>
          <w:rFonts w:ascii="Times New Roman" w:eastAsia="Times New Roman" w:hAnsi="Times New Roman" w:cs="Times New Roman"/>
          <w:noProof w:val="0"/>
          <w:sz w:val="24"/>
        </w:rPr>
        <w:t>, nie będziesz używał magii, nie będziesz używał czarów, nie będziesz mordował dzieci w aborcji, ani narodzonych zabijał, nie będziesz pożądał tego co należy do bliźniego twego</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fałszywie przysięgał, nie będziesz składać fałszywego świadectwa</w:t>
      </w:r>
      <w:r>
        <w:rPr>
          <w:rStyle w:val="FootnoteReference"/>
          <w:sz w:val="20"/>
        </w:rPr>
        <w:footnoteReference w:customMarkFollows="1" w:id="6"/>
        <w:t xml:space="preserve">7)</w:t>
      </w:r>
      <w:r>
        <w:rPr>
          <w:rFonts w:ascii="Times New Roman" w:eastAsia="Times New Roman" w:hAnsi="Times New Roman" w:cs="Times New Roman"/>
          <w:noProof w:val="0"/>
          <w:sz w:val="24"/>
        </w:rPr>
        <w:t>, nie będziesz rzucał oszczerstw, nie będziesz chował urazy.</w:t>
      </w:r>
      <w:r>
        <w:rPr>
          <w:sz w:val="20"/>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niestały w myśleniu ani dwulicowy, albowiem dwulicowość jest śmiertelną pułapką.</w:t>
      </w:r>
      <w:r>
        <w:rPr>
          <w:sz w:val="20"/>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słowa twe fałszywe, nie rzucone na wiatr, ale wypełnione działaniem.</w:t>
      </w:r>
      <w:r>
        <w:rPr>
          <w:sz w:val="20"/>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chciwcem ani ździercą ani hipokrytą ani człowiekiem złośliwym lub pysznym. Nie powieźmiesz złego postanowienia przeciw bliźniemu swemu.</w:t>
      </w:r>
      <w:r>
        <w:rPr>
          <w:sz w:val="20"/>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nienawidził jakiegokolwiek człowieka, lecz jednych upomnisz, a o innych pomodlisz się, a pozostałych zaś będziesz kochać nad własną duszę.</w:t>
      </w:r>
      <w:r>
        <w:rPr>
          <w:sz w:val="20"/>
        </w:rPr>
        <w:t xml:space="preserve"> </w:t>
      </w:r>
    </w:p>
    <w:p>
      <w:pPr>
        <w:pStyle w:val="Nagwek2"/>
        <w:keepNext/>
        <w:jc w:val="center"/>
      </w:pPr>
      <w:r>
        <w:t>Rozdział III</w:t>
      </w:r>
    </w:p>
    <w:p>
      <w:pPr>
        <w:keepNext/>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me, uciekaj od wszelkiego zła i od czegokolwiek co go przypomina.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skłonny do gniewu, gniew bowiem prowadzi do morderstwa, i nie bądź też nadgorliwy ani kłótliwy ani próżny, gdyż to prowadzi do [nienawiści i] zabójstwa.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moje, nie bądź pożądliwy, pożądanie prowadzi bowiem do rozpusty, i nie posługuj się wulgarnym językiem, nie bądź zarozumiały, z tego wszystkiego bowiem rodzą się cudzołóstwa.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moje, nie bądź przepowiadaczem przyszłości, ponieważ prowadzi to do bałwochwalstwa, i nie badź też posługującym się zaklęciami ani czarami ani numerologią, i nie chciej widzieć ani słyszeć nic z tego wszystkiego, bowiem to prowadzi do bałwochwalstwa.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moje, nie bądź kłamcą, ponieważ prowadzi kłamstwo do kradzieży, i nie bądź chciwy ani pragnący próżnej chwały, to wszystko bowiem prowadzi do zachłanności i kradzieży.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moje, nie bądź wiecznie narzekającym, ponieważ prowadzi to do oczerniania, i nie bądź też arogancki ani podstępny, z bowiem rodzą się złośliwe obelgi.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Bądź zaś łagodny, bo </w:t>
      </w:r>
      <w:r>
        <w:rPr>
          <w:rFonts w:ascii="Times New Roman" w:eastAsia="Times New Roman" w:hAnsi="Times New Roman" w:cs="Times New Roman"/>
          <w:noProof w:val="0"/>
          <w:color w:val="8B0000"/>
          <w:sz w:val="24"/>
        </w:rPr>
        <w:t>łagodni odziedziczą ziemię</w:t>
      </w:r>
      <w:r>
        <w:rPr>
          <w:rStyle w:val="FootnoteReference"/>
          <w:sz w:val="20"/>
        </w:rPr>
        <w:footnoteReference w:customMarkFollows="1" w:id="7"/>
        <w:t xml:space="preserve">8)</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cierpliwy, miłosierny, prostolinijny, spokojny, kochający i bojący się Słowa, posłusznym wszystkiemu co w nim usłyszałeś.</w:t>
      </w:r>
      <w:r>
        <w:rPr>
          <w:sz w:val="20"/>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wywyższaj siebie samego i nie bądź zbyt pewnym siebie. Nie dotrzymuj towarzystwa wyniosłym, ale ze sprawiedliwymi i uniżonymi przebywaj.</w:t>
      </w:r>
      <w:r>
        <w:rPr>
          <w:sz w:val="20"/>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jeśli spotkają cię bolesne doświadczenia, przyjmij je jako wartościowe, wiedząc, że bez wiedzy Boga nic się nie dzieje.</w:t>
      </w:r>
      <w:r>
        <w:rPr>
          <w:sz w:val="20"/>
        </w:rPr>
        <w:t xml:space="preserve"> </w:t>
      </w:r>
    </w:p>
    <w:p>
      <w:pPr>
        <w:pStyle w:val="Nagwek2"/>
        <w:keepNext/>
        <w:jc w:val="center"/>
      </w:pPr>
      <w:r>
        <w:t>Rozdział IV</w:t>
      </w:r>
    </w:p>
    <w:p>
      <w:pPr>
        <w:keepNext/>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moje, przekazującemu ci Słowo Boga i napominającemu cię dniem i nocą, będziesz okazywał szacunek jak samemu Panu, gdzie bowiem ogłasza się Jego panowanie, tam jest i sam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 zaś co dzień oblicza świętych, aby znaleźć wytchnienie w ich słowach.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 podziałów, żyj w pokoju na przekór walczącym. Sądząc sprawiedliwie, nie mając względu na osobę, upominaj za niewłaściwe postępowanie.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chwiejny i pełen wątpliwości, czy stanie się to lub owo.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chętnym do brania i nie wyciągaj pochopnie rąk, zaś w dawaniu się nie powstrzymuj.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jest to w twojej mocy, dasz zadośćuczynienie grzechów twych.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wahaj się dawać, a dając nie narzekaj. Poznasz bowiem, kto jest godzień dobrego wynagrodzenia.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odwracaj się od potrzebującego, miej udział w dawaniu wśród wszystkich twych braci. Nie mówcie też: to jest moje. Jeśli bowiem w nieśmiertelności jesteście uczestnikami, ileż bardziej w śmiertelności.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zapomnisz o karceniu swego syna i córki, ale od młodości będziesz nauczał ich bojaźni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rozkazuj twemu niewolnikowi lub służącej - a w Bogu mających nadzieję - w goryczy swej, żeby nie przestali lękać się waszego wspólnego Boga. Bóg bowiem nie powołuje według tego co zewnętrzne, ale przez Ducha tych, których wcześniej wybrał.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b/>
          <w:bCs/>
          <w:noProof w:val="0"/>
          <w:sz w:val="24"/>
        </w:rPr>
        <w:t>Wy zaś niewolnicy, podporządkowani bądźcie waszym doczesnym panom</w:t>
      </w:r>
      <w:r>
        <w:rPr>
          <w:rStyle w:val="FootnoteReference"/>
          <w:sz w:val="20"/>
        </w:rPr>
        <w:footnoteReference w:customMarkFollows="1" w:id="8"/>
        <w:t xml:space="preserve">9)</w:t>
      </w:r>
      <w:r>
        <w:rPr>
          <w:rFonts w:ascii="Times New Roman" w:eastAsia="Times New Roman" w:hAnsi="Times New Roman" w:cs="Times New Roman"/>
          <w:noProof w:val="0"/>
          <w:sz w:val="24"/>
        </w:rPr>
        <w:t>, podobnie jak Bogu, w uniżoności i bojaźni.</w:t>
      </w:r>
      <w:r>
        <w:rPr>
          <w:sz w:val="20"/>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nienawidził wszelką hipokryzję i wszystko co nie podoba się Panu.</w:t>
      </w:r>
      <w:r>
        <w:rPr>
          <w:sz w:val="20"/>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porzucisz przykazań Pańskich, ale strzeż co przyjąłeś, niczego nie dodając i niczego nie ujmując.</w:t>
      </w:r>
      <w:r>
        <w:rPr>
          <w:sz w:val="20"/>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zgromadzeniu [Kościoła] wyznawać będziesz swe winy i nie zbliżysz się w swej modlitwie z nieczystym sumieniem; oto jest droga życia.</w:t>
      </w:r>
      <w:r>
        <w:rPr>
          <w:sz w:val="20"/>
        </w:rPr>
        <w:t xml:space="preserve"> </w:t>
      </w:r>
    </w:p>
    <w:p>
      <w:pPr>
        <w:pStyle w:val="Nagwek2"/>
        <w:keepNext/>
        <w:jc w:val="center"/>
      </w:pPr>
      <w:r>
        <w:t>Rozdział V</w:t>
      </w:r>
    </w:p>
    <w:p>
      <w:pPr>
        <w:pStyle w:val="Nagwek4"/>
        <w:keepNext/>
        <w:jc w:val="center"/>
      </w:pPr>
      <w:r>
        <w:rPr>
          <w:b/>
        </w:rPr>
        <w:t>Droga śmierci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zaś jest droga śmierci: Po pierwsze wszelkie zło jest pełne przekleństwa jest, a są nimi: morderstwa, cudzołóstwa, pożądliwości, nierządy, kradzieże, bałwochwalstwa, magia, czary, grabieże, krzywoprzysięstwa, hipokryzje, nieszczerość, oszustwo, pycha, gniew, arogancja, chciwość, posługiwanie się wulgarną mową, zazdrość, zuchwalstwo, wyniosłość, chełpliwość.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drugie, przeklęci są wszyscy] prześladowcy dobra, nienawidzący prawdy, kochający kłamstwo, nie znający zapłaty sprawiedliwości, nie trzymający się dobra ani sądu sprawiedliwości, uważni nie w dobrym, lecz w złym, co daleko [są od] łagodności i cierpliwości, miłujący próżność, domagający się zemsty, nie współczujący biednym, krzywdziciele niewinnych, nie znający [Tego] Który ich uczynił, mordercy dzieci, dokonujący zniszczenia tego co ukształtował Bóg, którzy odwracają się [od] potrzebującego, dręczący uciśnionych, bogatych opiekunowie, ubogich bezprawni sędziowie, całkowicie pogrążeni w grzechu. Ratujcie się dzieci, od tych wszystkich.</w:t>
      </w:r>
      <w:r>
        <w:t xml:space="preserve"> </w:t>
      </w:r>
    </w:p>
    <w:p>
      <w:pPr>
        <w:pStyle w:val="Nagwek2"/>
        <w:keepNext/>
        <w:jc w:val="center"/>
      </w:pPr>
      <w:r>
        <w:t>Rozdział VI</w:t>
      </w:r>
    </w:p>
    <w:p>
      <w:pPr>
        <w:pStyle w:val="Nagwek4"/>
        <w:keepNext/>
        <w:jc w:val="center"/>
      </w:pPr>
      <w:r>
        <w:rPr>
          <w:b/>
        </w:rPr>
        <w:t>Ostrzeżenie przed zwiedzeniem</w:t>
      </w:r>
    </w:p>
    <w:p>
      <w:pPr>
        <w:keepNext w:val="0"/>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aby nie zwiódł cię ktoś z drogi tej nauki, kiedy bez Boga cię naucza.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jesteś w stanie ponieść całe jarzmo Pana, będziesz doskonały. Jeśli zaś nie jesteś w stanie, zrób co jest w twojej mocy.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tyczy się jedzenia, spożywaj wszystko według swej możności. Uważaj jedynie na to co ofiarowane jest bożkom, gdyż pokarm ten jest uwielbieniem martwych bożków</w:t>
      </w:r>
      <w:r>
        <w:rPr>
          <w:rStyle w:val="FootnoteReference"/>
          <w:sz w:val="20"/>
        </w:rPr>
        <w:footnoteReference w:customMarkFollows="1" w:id="9"/>
        <w:t xml:space="preserve">10)</w:t>
      </w:r>
      <w:r>
        <w:rPr>
          <w:rFonts w:ascii="Times New Roman" w:eastAsia="Times New Roman" w:hAnsi="Times New Roman" w:cs="Times New Roman"/>
          <w:noProof w:val="0"/>
          <w:sz w:val="24"/>
        </w:rPr>
        <w:t>.</w:t>
      </w:r>
      <w:r>
        <w:rPr>
          <w:sz w:val="20"/>
        </w:rPr>
        <w:t xml:space="preserve"> </w:t>
      </w:r>
    </w:p>
    <w:p>
      <w:pPr>
        <w:pStyle w:val="Nagwek2"/>
        <w:keepNext/>
        <w:jc w:val="center"/>
      </w:pPr>
      <w:r>
        <w:t>Rozdział VII</w:t>
      </w:r>
    </w:p>
    <w:p>
      <w:pPr>
        <w:pStyle w:val="Nagwek3"/>
        <w:keepNext/>
        <w:jc w:val="center"/>
      </w:pPr>
      <w:r>
        <w:rPr>
          <w:b/>
        </w:rPr>
        <w:t>Funkcjonowanie Kościoła</w:t>
      </w:r>
    </w:p>
    <w:p>
      <w:pPr>
        <w:pStyle w:val="Nagwek4"/>
        <w:keepNext/>
        <w:jc w:val="center"/>
      </w:pPr>
      <w:r>
        <w:rPr>
          <w:b/>
        </w:rPr>
        <w:t>O chrztach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tyczy się chrztu, tak chrzcij: te wszystkie uprzednio powiedziawszy, chrzcij w imię Ojca i  Syna i  Świętego Ducha w wodzie żywej.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tylko zaś nie miałbyś wody żywej, w innej wodzie chrzcij. Jeśli zaś nie możesz chrzcić w zimnej to chrzcij w ciepłej.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nie miałbyś żadnej z nich, wylej wodę na głowę jego, trzy razy, w imię Ojca i Syna i Świętego Ducha.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chrztem, niech wcześniej pości chrzczący i chrzczony i również jeśli ktoś inny jest w stanie. Nakazuj zaś pościć chrzczonemu przedtem jeden lub dwa dni.</w:t>
      </w:r>
      <w:r>
        <w:t xml:space="preserve"> </w:t>
      </w:r>
    </w:p>
    <w:p>
      <w:pPr>
        <w:pStyle w:val="Nagwek2"/>
        <w:keepNext/>
        <w:jc w:val="center"/>
      </w:pPr>
      <w:r>
        <w:t>Rozdział VIII</w:t>
      </w:r>
    </w:p>
    <w:p>
      <w:pPr>
        <w:pStyle w:val="Nagwek4"/>
        <w:keepNext/>
        <w:jc w:val="center"/>
      </w:pPr>
      <w:r>
        <w:rPr>
          <w:b/>
        </w:rPr>
        <w:t>o modlitwie i poście</w:t>
      </w:r>
    </w:p>
    <w:p>
      <w:pPr>
        <w:keepNext w:val="0"/>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Posty wasze niech nie będą jak u obłudników, poszczą bowiem drugiego dnia po sabacie i piątego, wy zaś pośćcie czwartego oraz w dzień przygotowania.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módlcie się jak obłudnicy, ale jak rozkazał Pan w ewangelii Swej, tak módlcie się: </w:t>
      </w:r>
      <w:r>
        <w:rPr>
          <w:rFonts w:ascii="Times New Roman" w:eastAsia="Times New Roman" w:hAnsi="Times New Roman" w:cs="Times New Roman"/>
          <w:noProof w:val="0"/>
          <w:color w:val="8B0000"/>
          <w:sz w:val="24"/>
        </w:rPr>
        <w:t>Ojcze nasz w Niebiosach, niech zostanie uświęcone imię Twe, niech przyjdzie Królestwo Twe, niech stanie się wola Twa jak w Niebie i na ziemi. Chleb nasz codzienny daj nam dzisiaj, i odpuść nam długi nasze, jak i my odpuszczamy dłużnikom naszym, i nie wprowadzaj nas w pokuszenie, ale wyratuj nas ze złego, albowiem Twoja jest moc i  chwała na wieki</w:t>
      </w:r>
      <w:r>
        <w:rPr>
          <w:rStyle w:val="FootnoteReference"/>
          <w:sz w:val="20"/>
        </w:rPr>
        <w:footnoteReference w:customMarkFollows="1" w:id="10"/>
        <w:t xml:space="preserve">11)</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dziennie tak módlcie się.</w:t>
      </w:r>
      <w:r>
        <w:rPr>
          <w:sz w:val="20"/>
        </w:rPr>
        <w:t xml:space="preserve"> </w:t>
      </w:r>
    </w:p>
    <w:p>
      <w:pPr>
        <w:pStyle w:val="Nagwek2"/>
        <w:keepNext/>
        <w:jc w:val="center"/>
      </w:pPr>
      <w:r>
        <w:t>Rozdział IX</w:t>
      </w:r>
    </w:p>
    <w:p>
      <w:pPr>
        <w:pStyle w:val="Nagwek4"/>
        <w:keepNext/>
        <w:jc w:val="center"/>
      </w:pPr>
      <w:r>
        <w:rPr>
          <w:b/>
        </w:rPr>
        <w:t>o Wieczerzy Pańskiej</w:t>
      </w:r>
    </w:p>
    <w:p>
      <w:pPr>
        <w:keepNext w:val="0"/>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tyczy się wieczerzy Pańskiej, tak się módlcie: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przy kielichu: „Dziękujemy Ci, Ojcze nasz, za świętą winorośl Dawida sługi Twego, co objawiłeś nam przez Jezusa sługę Twego. Tobie chwała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chlebie zaś: „Dziękujemy Ci, Ojcze nasz, za życie i poznanie, objawione nam przez Jezusa sługę Twego. Tobie chwała na wieki.”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jak był ten kawałek chleba rozproszony po górach i zebrany stał się w jedno, tak niech będzie zebrany w Twój Kościół z krańców ziemi w Twym Królestwie. Bo Twoja jest chwała i moc przez Jezusa Chrystusa na wieki wieków.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Nikt zaś niech nie je i nie pije z kielicha dziękczynienia waszego, jak tylko ci, którzy ochrzczeni zostali w imię Pana, bowiem o tym powiedział Pan: </w:t>
      </w:r>
      <w:r>
        <w:rPr>
          <w:rFonts w:ascii="Times New Roman" w:eastAsia="Times New Roman" w:hAnsi="Times New Roman" w:cs="Times New Roman"/>
          <w:noProof w:val="0"/>
          <w:color w:val="8B0000"/>
          <w:sz w:val="24"/>
        </w:rPr>
        <w:t>Nie dajcie świętego psom</w:t>
      </w:r>
      <w:r>
        <w:rPr>
          <w:rStyle w:val="FootnoteReference"/>
          <w:sz w:val="20"/>
        </w:rPr>
        <w:footnoteReference w:customMarkFollows="1" w:id="11"/>
        <w:t xml:space="preserve">12)</w:t>
      </w:r>
      <w:r>
        <w:rPr>
          <w:rFonts w:ascii="Times New Roman" w:eastAsia="Times New Roman" w:hAnsi="Times New Roman" w:cs="Times New Roman"/>
          <w:noProof w:val="0"/>
          <w:sz w:val="24"/>
        </w:rPr>
        <w:t>.</w:t>
      </w:r>
      <w:r>
        <w:rPr>
          <w:sz w:val="20"/>
        </w:rPr>
        <w:t xml:space="preserve"> </w:t>
      </w:r>
    </w:p>
    <w:p>
      <w:pPr>
        <w:pStyle w:val="Nagwek2"/>
        <w:keepNext/>
        <w:jc w:val="center"/>
      </w:pPr>
      <w:r>
        <w:t>Rozdział X</w:t>
      </w:r>
    </w:p>
    <w:p>
      <w:pPr>
        <w:pStyle w:val="Nagwek4"/>
        <w:keepNext/>
        <w:jc w:val="center"/>
      </w:pPr>
      <w:r>
        <w:rPr>
          <w:b/>
        </w:rPr>
        <w:t>o modlitwach po Wieczerzy Pańskiej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 wieczerzy, kiedy nasycicie się, tak się módlcie: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„Dziękujemy Ci, Ojcze Święty, za Twe święte imię, które zamieszkało w naszych sercach, przez poznanie i wiarę i nieśmiertelność, którą objawiłeś nam przez Jezusa, sługę Twego. Tobie chwała na wieki wieków.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Panie Wszechmogący, stworzyłeś wszystko ze względu na imię Swoje, pokarm i napój dałeś ludziom, aby się radowali, aby Tobie dziękowali. Nam zaś dałeś pokarm i napój duchowy i życie wieczne przez Jezusa sługę Twego.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Przede wszystkim dziękujemy za Twą potęgę, Tobie chwała na wieki wieków.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Panie o Twoim Kościele, uratuj go od wszelkiego zła i uczyń go doskonałym w miłości Twojej i zgromadź go zewsząd i uczyń świętym w Twym Królestwie, co przygotowałeś mu, bo Twoja jest moc i chwała na wieki wieków.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Twoja łaska, a niech przeminie świat ten. Hosanna Bogu Dawidowemu, każdy kto jest święty niech przyjdzie, a jeśli nie, niech się nawróci. Przyjdź Panie! Amen.”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Prorokom jednak pozwólcie modlić się wedle ich uznania.</w:t>
      </w:r>
      <w:r>
        <w:t xml:space="preserve"> </w:t>
      </w:r>
    </w:p>
    <w:p>
      <w:pPr>
        <w:pStyle w:val="Nagwek4"/>
        <w:keepNext/>
        <w:spacing w:line="360" w:lineRule="auto"/>
        <w:jc w:val="center"/>
      </w:pPr>
      <w:r>
        <w:rPr>
          <w:b/>
        </w:rPr>
        <w:t>Mirra</w:t>
      </w:r>
    </w:p>
    <w:p>
      <w:pPr>
        <w:keepNext w:val="0"/>
        <w:spacing w:line="360" w:lineRule="auto"/>
        <w:jc w:val="both"/>
        <w:rPr>
          <w:sz w:val="20"/>
        </w:rPr>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użyciu mirry</w:t>
      </w:r>
      <w:r>
        <w:rPr>
          <w:rStyle w:val="FootnoteReference"/>
          <w:sz w:val="20"/>
        </w:rPr>
        <w:footnoteReference w:customMarkFollows="1" w:id="12"/>
        <w:t xml:space="preserve">13)</w:t>
      </w:r>
      <w:r>
        <w:rPr>
          <w:rFonts w:ascii="Times New Roman" w:eastAsia="Times New Roman" w:hAnsi="Times New Roman" w:cs="Times New Roman"/>
          <w:noProof w:val="0"/>
          <w:sz w:val="24"/>
        </w:rPr>
        <w:t>, tak się módlcie:</w:t>
      </w:r>
      <w:r>
        <w:rPr>
          <w:sz w:val="20"/>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„Dziękujemy Ci, Ojcze nasz Święty, za mirrę, co objawiłeś nam przez Jezusa sługę Twego. Tobie niech będzie chwała na wieki wieków. Amen.”</w:t>
      </w:r>
      <w:r>
        <w:rPr>
          <w:sz w:val="20"/>
        </w:rPr>
        <w:t xml:space="preserve"> </w:t>
      </w:r>
    </w:p>
    <w:p>
      <w:pPr>
        <w:pStyle w:val="Nagwek2"/>
        <w:keepNext/>
        <w:jc w:val="center"/>
      </w:pPr>
      <w:r>
        <w:t>Rozdział XI</w:t>
      </w:r>
    </w:p>
    <w:p>
      <w:pPr>
        <w:pStyle w:val="Nagwek4"/>
        <w:keepNext/>
        <w:jc w:val="center"/>
      </w:pPr>
      <w:r>
        <w:rPr>
          <w:b/>
        </w:rPr>
        <w:t>o prawdziwych i fałszywych wysłannikach i prorokach</w:t>
      </w:r>
    </w:p>
    <w:p>
      <w:pPr>
        <w:keepNext w:val="0"/>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ktokolwiek przyszedłby do was, aby nauczać o tym co od początku wiecie ― przyjmijcie 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zaś zmieniłby nauczanie w kierunku rozluźnienia nauki, </w:t>
      </w:r>
      <w:r>
        <w:rPr>
          <w:rFonts w:ascii="Times New Roman" w:eastAsia="Times New Roman" w:hAnsi="Times New Roman" w:cs="Times New Roman"/>
          <w:b/>
          <w:bCs/>
          <w:noProof w:val="0"/>
          <w:sz w:val="24"/>
        </w:rPr>
        <w:t>nie słuchajcie go</w:t>
      </w:r>
      <w:r>
        <w:rPr>
          <w:rStyle w:val="FootnoteReference"/>
          <w:sz w:val="20"/>
        </w:rPr>
        <w:footnoteReference w:customMarkFollows="1" w:id="13"/>
        <w:t xml:space="preserve">14)</w:t>
      </w:r>
      <w:r>
        <w:rPr>
          <w:rFonts w:ascii="Times New Roman" w:eastAsia="Times New Roman" w:hAnsi="Times New Roman" w:cs="Times New Roman"/>
          <w:noProof w:val="0"/>
          <w:sz w:val="24"/>
        </w:rPr>
        <w:t>. Jeśli zaś nauczałby ku pomnożeniu sprawiedliwości i poznania Pana, takiego przyjmijcie jak samego Pana.</w:t>
      </w:r>
      <w:r>
        <w:rPr>
          <w:sz w:val="20"/>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tyczy się wysłanników i proroków, według postanowienia ewangelii tak uczyńcie:</w:t>
      </w:r>
      <w:r>
        <w:rPr>
          <w:sz w:val="20"/>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wysłannik przychodzący do was niech będzie przyjęty jak sam Pan.</w:t>
      </w:r>
      <w:r>
        <w:rPr>
          <w:sz w:val="20"/>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pozostanie on dłużej niż jeden dzień, a jeśli jest taka potrzeba, i  drugi. Jednakże, jeśli pozostałby na trzeci dzień, to jest to fałszywy prorok.</w:t>
      </w:r>
      <w:r>
        <w:rPr>
          <w:sz w:val="20"/>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Wychodząc zaś wysłannik nic nie weźmie oprócz chleba, który starczy mu do następnej nocy. Jeśli zaś prosiłby o pieniądze, jest to fałszywy prorok.</w:t>
      </w:r>
      <w:r>
        <w:rPr>
          <w:sz w:val="20"/>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każdego proroka mówiącego w Duchu, nie będziecie wystawiali na próbę ani wątpili. </w:t>
      </w:r>
      <w:r>
        <w:rPr>
          <w:rFonts w:ascii="Times New Roman" w:eastAsia="Times New Roman" w:hAnsi="Times New Roman" w:cs="Times New Roman"/>
          <w:noProof w:val="0"/>
          <w:color w:val="8B0000"/>
          <w:sz w:val="24"/>
        </w:rPr>
        <w:t>Każdy bowiem grzech będzie odpuszczony, ten zaś grzech nie będzie odpuszczony</w:t>
      </w:r>
      <w:r>
        <w:rPr>
          <w:rStyle w:val="FootnoteReference"/>
          <w:sz w:val="20"/>
        </w:rPr>
        <w:footnoteReference w:customMarkFollows="1" w:id="14"/>
        <w:t xml:space="preserve">15)</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każdy zaś mówiący w Duchu prorokiem jest, ale tylko ten z charakterem na podobieństwo Pana. Zatem z charakteru zostanie poznany zarówno fałszywy jak i prawdziwy prorok.</w:t>
      </w:r>
      <w:r>
        <w:rPr>
          <w:sz w:val="20"/>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każdy prorok nakazujący zastawić stół powołując się na Ducha Świetego, nie będzie jadł z niego, jeśli zaś je, ten jest fałszywym prorokiem.</w:t>
      </w:r>
      <w:r>
        <w:rPr>
          <w:sz w:val="20"/>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prorok nauczający prawdy, jeśli nie czyni tego czego naucza, ten jest fałszywym prorokiem.</w:t>
      </w:r>
      <w:r>
        <w:rPr>
          <w:sz w:val="20"/>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prorok wypróbowany, prawdziwy, ale czyniący potajemnie rzeczy światowe, bez wiedzy Kościoła, nie nauczający zaś czynić, jak on czyni, nie zostanie przez was osądzony. Z Bogiem bowiem ma sąd. W ten sam sposób bowiem czynili i starożytni prorocy.</w:t>
      </w:r>
      <w:r>
        <w:rPr>
          <w:sz w:val="20"/>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powiedziałby powołując się na Ducha Świętego: Daj mi srebra lub czegoś w tym rodzaju, nie usłuchacie go. Jeśli zaś prosiłby o coś dla innych, będących w potrzebie, dajcie mu, a niech nikt go nie osądza.</w:t>
      </w:r>
      <w:r>
        <w:rPr>
          <w:sz w:val="20"/>
        </w:rPr>
        <w:t xml:space="preserve"> </w:t>
      </w:r>
    </w:p>
    <w:p>
      <w:pPr>
        <w:pStyle w:val="Nagwek2"/>
        <w:keepNext/>
        <w:jc w:val="center"/>
      </w:pPr>
      <w:r>
        <w:t>Rozdział XII</w:t>
      </w:r>
    </w:p>
    <w:p>
      <w:pPr>
        <w:pStyle w:val="Nagwek4"/>
        <w:keepNext/>
        <w:jc w:val="center"/>
      </w:pPr>
      <w:r>
        <w:rPr>
          <w:b/>
        </w:rPr>
        <w:t>o przechodniach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przychodzący do was w imieniu Pana niech będzie przyjęty, ale poddawszy go próbie poznajcie, rozróżniacie bowiem między tym co prawe, a tym co lewe.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rzeczywiście przybysz jest przechodniem, pomóżcie mu na ile jesteście w stanie. Nie pozostanie zaś u was góra dwa lub trzy dni, jeśli byłaby taka potrzeba.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chce u was osiąść, rzemieślnikiem będąc, niech pracuje i niech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ma zawodu, według zrozumienia waszego zawczasu rozważajcie by chrześcijanin nie był bezczynny, nic nie robiąc.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chce tak czynić, znaczy to, że kupczy on Chrystusem. Uważajcie na takich ludzi.</w:t>
      </w:r>
      <w:r>
        <w:t xml:space="preserve"> </w:t>
      </w:r>
    </w:p>
    <w:p>
      <w:pPr>
        <w:pStyle w:val="Nagwek2"/>
        <w:keepNext/>
        <w:jc w:val="center"/>
      </w:pPr>
      <w:r>
        <w:t>Rozdział XIII</w:t>
      </w:r>
    </w:p>
    <w:p>
      <w:pPr>
        <w:pStyle w:val="Nagwek4"/>
        <w:keepNext/>
        <w:jc w:val="center"/>
      </w:pPr>
      <w:r>
        <w:rPr>
          <w:b/>
        </w:rPr>
        <w:t>o pierwocinach</w:t>
      </w:r>
    </w:p>
    <w:p>
      <w:pPr>
        <w:keepNext w:val="0"/>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prorok prawdziwy chcący osiąść u was godny jest wyżywienia swojego.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prawdziwy nauczyciel jest godny, tak samo jak robotnik, wyżywienia swego</w:t>
      </w:r>
      <w:r>
        <w:rPr>
          <w:rStyle w:val="FootnoteReference"/>
          <w:sz w:val="20"/>
        </w:rPr>
        <w:footnoteReference w:customMarkFollows="1" w:id="15"/>
        <w:t xml:space="preserve">16)</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więc pierwocinę plonów z tłoczni winnej i klepiska, wołów i owiec, wziąwszy dasz prorokom. Oni bowiem są arcykapłanami waszymi.</w:t>
      </w:r>
      <w:r>
        <w:rPr>
          <w:sz w:val="20"/>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 macie proroka, dajcie biednym.</w:t>
      </w:r>
      <w:r>
        <w:rPr>
          <w:sz w:val="20"/>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chleb robiłbyś, pierwocinę wziąwszy, daj według przykazania.</w:t>
      </w:r>
      <w:r>
        <w:rPr>
          <w:sz w:val="20"/>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dzban wina lub oliwy otworzywszy, pierwocinę wziąwszy, daj prorokom.</w:t>
      </w:r>
      <w:r>
        <w:rPr>
          <w:sz w:val="20"/>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srebra zaś i szaty i każdej własności wziąwszy pierwocinę, cokolwiek ci wydawałoby się dobre daj według przykazania.</w:t>
      </w:r>
      <w:r>
        <w:rPr>
          <w:sz w:val="20"/>
        </w:rPr>
        <w:t xml:space="preserve"> </w:t>
      </w:r>
    </w:p>
    <w:p>
      <w:pPr>
        <w:pStyle w:val="Nagwek2"/>
        <w:keepNext/>
        <w:jc w:val="center"/>
      </w:pPr>
      <w:r>
        <w:t>Rozdział XIV</w:t>
      </w:r>
    </w:p>
    <w:p>
      <w:pPr>
        <w:pStyle w:val="Nagwek4"/>
        <w:keepNext/>
        <w:jc w:val="center"/>
      </w:pPr>
      <w:r>
        <w:rPr>
          <w:b/>
        </w:rPr>
        <w:t>o dniu Pańskim</w:t>
      </w:r>
    </w:p>
    <w:p>
      <w:pPr>
        <w:keepNext w:val="0"/>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Pańskiego</w:t>
      </w:r>
      <w:r>
        <w:rPr>
          <w:rStyle w:val="FootnoteReference"/>
          <w:sz w:val="20"/>
        </w:rPr>
        <w:footnoteReference w:customMarkFollows="1" w:id="16"/>
        <w:t xml:space="preserve">17)</w:t>
      </w:r>
      <w:r>
        <w:rPr>
          <w:rFonts w:ascii="Times New Roman" w:eastAsia="Times New Roman" w:hAnsi="Times New Roman" w:cs="Times New Roman"/>
          <w:noProof w:val="0"/>
          <w:sz w:val="24"/>
        </w:rPr>
        <w:t>zaś dla Pana zostawszy zebrani, złamcie chleb i dziekujcie, przedtem wyznawszy upadki wasze, żeby wasza ofiara była czysta.</w:t>
      </w:r>
      <w:r>
        <w:rPr>
          <w:sz w:val="20"/>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zaś mający spór ze swoim bliźnim, niech nie zbiera się z wami, dopóki nie pogodzi się, aby nie byłaby zanieczyszczona wasza ofiara.</w:t>
      </w:r>
      <w:r>
        <w:rPr>
          <w:sz w:val="20"/>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 tym bowiem jest powiedziane przez Pana: </w:t>
      </w:r>
      <w:r>
        <w:rPr>
          <w:rFonts w:ascii="Times New Roman" w:eastAsia="Times New Roman" w:hAnsi="Times New Roman" w:cs="Times New Roman"/>
          <w:noProof w:val="0"/>
          <w:color w:val="8B0000"/>
          <w:sz w:val="24"/>
        </w:rPr>
        <w:t>W każdym miejscu i czasie przynosić mi będziecie ofiarę czystą. Dlatego, że jestem Wielkim Królem, mówi Pan, a imię Me, niezwykłe jest wśród narodów</w:t>
      </w:r>
      <w:r>
        <w:rPr>
          <w:rStyle w:val="FootnoteReference"/>
          <w:sz w:val="20"/>
        </w:rPr>
        <w:footnoteReference w:customMarkFollows="1" w:id="17"/>
        <w:t xml:space="preserve">18)</w:t>
      </w:r>
      <w:r>
        <w:rPr>
          <w:rFonts w:ascii="Times New Roman" w:eastAsia="Times New Roman" w:hAnsi="Times New Roman" w:cs="Times New Roman"/>
          <w:noProof w:val="0"/>
          <w:sz w:val="24"/>
        </w:rPr>
        <w:t>.</w:t>
      </w:r>
      <w:r>
        <w:rPr>
          <w:sz w:val="20"/>
        </w:rPr>
        <w:t xml:space="preserve"> </w:t>
      </w:r>
    </w:p>
    <w:p>
      <w:pPr>
        <w:pStyle w:val="Nagwek2"/>
        <w:keepNext/>
        <w:jc w:val="center"/>
      </w:pPr>
      <w:r>
        <w:t>Rozdział XV</w:t>
      </w:r>
    </w:p>
    <w:p>
      <w:pPr>
        <w:pStyle w:val="Nagwek4"/>
        <w:keepNext/>
        <w:jc w:val="center"/>
      </w:pPr>
      <w:r>
        <w:rPr>
          <w:b/>
        </w:rPr>
        <w:t>o szacunku dla przewodników i dyscyplinie kościelnej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Wybierajcie więc sobie przewodników i sług godnych Pana. Niech będą mężami pokornymi i nie chciwymi, a szczerymi, prawymi i wypróbowanymi, gdyż wam służąc, usługują prorokom i nauczycielom.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nie lekceważcie ich, oni bowiem powinni być cenieni przez was na równi z  prorokami i nauczycielami.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Napominajcie zaś siebie nawzajem nie w gniewie, ale w pokoju, jak macie zaisane w ewangelii, a z każdym, który grzeszyłby przeciwko bliźniemu, nie rozmawiajcie i nie słuchajcie go, dopóki by nie zmienił myślenia i nie nawrócił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śluby, modlitwy, jałmużny i wszystkie wasze uczynki tak wypełniajcie, jak macie opisane w ewangelii naszego Pana.</w:t>
      </w:r>
      <w:r>
        <w:t xml:space="preserve"> </w:t>
      </w:r>
    </w:p>
    <w:p>
      <w:pPr>
        <w:pStyle w:val="Nagwek2"/>
        <w:keepNext/>
        <w:jc w:val="center"/>
      </w:pPr>
      <w:r>
        <w:t>Rozdział XVI</w:t>
      </w:r>
    </w:p>
    <w:p>
      <w:pPr>
        <w:pStyle w:val="Nagwek4"/>
        <w:keepNext/>
        <w:jc w:val="center"/>
      </w:pPr>
      <w:r>
        <w:rPr>
          <w:b/>
        </w:rPr>
        <w:t>o gotowości na przyjście Pana</w:t>
      </w:r>
    </w:p>
    <w:p>
      <w:pPr>
        <w:keepNext w:val="0"/>
        <w:spacing w:line="360" w:lineRule="auto"/>
        <w:jc w:val="both"/>
        <w:rPr>
          <w:sz w:val="20"/>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za życia waszego. Lampy wasze niech nie będą zgaszone, a  biodra wasze nie omdlałe, ale bądźcie gotowi. </w:t>
      </w:r>
      <w:r>
        <w:rPr>
          <w:rFonts w:ascii="Times New Roman" w:eastAsia="Times New Roman" w:hAnsi="Times New Roman" w:cs="Times New Roman"/>
          <w:b/>
          <w:bCs/>
          <w:noProof w:val="0"/>
          <w:sz w:val="24"/>
        </w:rPr>
        <w:t>Nie bowiem znacie godziny</w:t>
      </w:r>
      <w:r>
        <w:rPr>
          <w:rStyle w:val="FootnoteReference"/>
          <w:sz w:val="20"/>
        </w:rPr>
        <w:footnoteReference w:customMarkFollows="1" w:id="18"/>
        <w:t xml:space="preserve">19)</w:t>
      </w:r>
      <w:r>
        <w:rPr>
          <w:rFonts w:ascii="Times New Roman" w:eastAsia="Times New Roman" w:hAnsi="Times New Roman" w:cs="Times New Roman"/>
          <w:noProof w:val="0"/>
          <w:sz w:val="24"/>
        </w:rPr>
        <w:t>, w której Pan wasz przychodzi</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Często zaś bywajcie zebrani, szukając tego co jest odpowiednie dla dusz waszych. Nie okaże się bowiem korzystny cały czas waszej waszej wiary, jeżeli w tej ostatniej porze nie będziecie gotowi.</w:t>
      </w:r>
      <w:r>
        <w:rPr>
          <w:sz w:val="20"/>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dniach ostatnich, namnoży się fałszywych proroków, a powodując zepsucie, owce przemienią się w wilki, a miłość obróci się w nienawiść</w:t>
      </w:r>
      <w:r>
        <w:rPr>
          <w:rStyle w:val="FootnoteReference"/>
          <w:sz w:val="20"/>
        </w:rPr>
        <w:footnoteReference w:customMarkFollows="1" w:id="19"/>
        <w:t xml:space="preserve">21)</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Wzrośnie bezprawie</w:t>
      </w:r>
      <w:r>
        <w:rPr>
          <w:rStyle w:val="FootnoteReference"/>
          <w:sz w:val="20"/>
        </w:rPr>
        <w:footnoteReference w:customMarkFollows="1" w:id="20"/>
        <w:t xml:space="preserve">22)</w:t>
      </w:r>
      <w:r>
        <w:rPr>
          <w:rFonts w:ascii="Times New Roman" w:eastAsia="Times New Roman" w:hAnsi="Times New Roman" w:cs="Times New Roman"/>
          <w:noProof w:val="0"/>
          <w:sz w:val="24"/>
        </w:rPr>
        <w:t>, znienawidzą siebie nawzajem</w:t>
      </w:r>
      <w:r>
        <w:rPr>
          <w:rStyle w:val="FootnoteReference"/>
          <w:sz w:val="20"/>
        </w:rPr>
        <w:footnoteReference w:customMarkFollows="1" w:id="21"/>
        <w:t xml:space="preserve">23)</w:t>
      </w:r>
      <w:r>
        <w:rPr>
          <w:rFonts w:ascii="Times New Roman" w:eastAsia="Times New Roman" w:hAnsi="Times New Roman" w:cs="Times New Roman"/>
          <w:noProof w:val="0"/>
          <w:sz w:val="24"/>
        </w:rPr>
        <w:t>i prześladować was będą i wsadzać do więzień, i wtedy objawi się zwodziciel świata jako Syn Boga, a uczyni znaki i cuda</w:t>
      </w:r>
      <w:r>
        <w:rPr>
          <w:rFonts w:ascii="Times New Roman" w:eastAsia="Times New Roman" w:hAnsi="Times New Roman" w:cs="Times New Roman"/>
          <w:noProof w:val="0"/>
          <w:sz w:val="24"/>
        </w:rPr>
        <w:t>i  ziemia wydana zostanie w jego ręce, czyniąc bezprawie, którego nie było od wieków.</w:t>
      </w:r>
      <w:r>
        <w:rPr>
          <w:sz w:val="20"/>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 wypróbowana będzie ludzkość w ogniu próby, a wielu doprowadzonych do potknięcia, zostanie zniszczonych, zaś ci, którzy wytrwają w wierze swojej, zostaną przez nią uratowani od przekleństwa</w:t>
      </w:r>
      <w:r>
        <w:rPr>
          <w:rStyle w:val="FootnoteReference"/>
          <w:sz w:val="20"/>
        </w:rPr>
        <w:footnoteReference w:customMarkFollows="1" w:id="22"/>
        <w:t xml:space="preserve">25)</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ukażą się znaki prawdy. Najpierw znak otwarcia w niebie, następnie znak dźwięku trąby i  trzeci powstanie martwych</w:t>
      </w:r>
      <w:r>
        <w:rPr>
          <w:rStyle w:val="FootnoteReference"/>
          <w:sz w:val="20"/>
        </w:rPr>
        <w:footnoteReference w:customMarkFollows="1" w:id="23"/>
        <w:t xml:space="preserve">26)</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wszystkich zaś, lecz jak zostało powiedziane: </w:t>
      </w:r>
      <w:r>
        <w:rPr>
          <w:rFonts w:ascii="Times New Roman" w:eastAsia="Times New Roman" w:hAnsi="Times New Roman" w:cs="Times New Roman"/>
          <w:b/>
          <w:bCs/>
          <w:noProof w:val="0"/>
          <w:sz w:val="24"/>
        </w:rPr>
        <w:t>Przyjdzie Pan i wszyscy święci z Nim</w:t>
      </w:r>
      <w:r>
        <w:rPr>
          <w:rStyle w:val="FootnoteReference"/>
          <w:sz w:val="20"/>
        </w:rPr>
        <w:footnoteReference w:customMarkFollows="1" w:id="24"/>
        <w:t xml:space="preserve">27)</w:t>
      </w:r>
      <w:r>
        <w:rPr>
          <w:rFonts w:ascii="Times New Roman" w:eastAsia="Times New Roman" w:hAnsi="Times New Roman" w:cs="Times New Roman"/>
          <w:noProof w:val="0"/>
          <w:sz w:val="24"/>
        </w:rPr>
        <w:t>.</w:t>
      </w:r>
      <w:r>
        <w:rPr>
          <w:sz w:val="20"/>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zobaczy świat Pana </w:t>
      </w:r>
      <w:r>
        <w:rPr>
          <w:rFonts w:ascii="Times New Roman" w:eastAsia="Times New Roman" w:hAnsi="Times New Roman" w:cs="Times New Roman"/>
          <w:b/>
          <w:bCs/>
          <w:noProof w:val="0"/>
          <w:sz w:val="24"/>
        </w:rPr>
        <w:t>przychodzącego na obłokach nieba</w:t>
      </w:r>
      <w:r>
        <w:rPr>
          <w:rStyle w:val="FootnoteReference"/>
          <w:sz w:val="20"/>
        </w:rPr>
        <w:footnoteReference w:customMarkFollows="1" w:id="25"/>
        <w:t xml:space="preserve">28)</w:t>
      </w:r>
      <w:r>
        <w:rPr>
          <w:rFonts w:ascii="Times New Roman" w:eastAsia="Times New Roman" w:hAnsi="Times New Roman" w:cs="Times New Roman"/>
          <w:noProof w:val="0"/>
          <w:sz w:val="24"/>
        </w:rPr>
        <w:t>.</w:t>
      </w:r>
      <w:r>
        <w:rPr>
          <w:sz w:val="20"/>
        </w:rPr>
        <w:t xml:space="preserve"> </w:t>
      </w:r>
    </w:p>
    <w:p>
      <w:pPr>
        <w:spacing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LPD - Nowodworski Dosłowny Przekład Didache. Copyright © 2023 </w:t>
      </w:r>
      <w:hyperlink r:id="rId5" w:tgtFrame="_blank" w:history="1">
        <w:r>
          <w:rPr>
            <w:rFonts w:ascii="Times New Roman" w:eastAsia="Times New Roman" w:hAnsi="Times New Roman" w:cs="Times New Roman"/>
            <w:noProof w:val="0"/>
            <w:color w:val="0000EE"/>
            <w:sz w:val="17"/>
            <w:szCs w:val="17"/>
            <w:u w:val="single" w:color="0000EE"/>
          </w:rPr>
          <w:t>Krzysztof Radzimski</w:t>
        </w:r>
      </w:hyperlink>
      <w:r>
        <w:rPr>
          <w:rFonts w:ascii="Times New Roman" w:eastAsia="Times New Roman" w:hAnsi="Times New Roman" w:cs="Times New Roman"/>
          <w:noProof w:val="0"/>
          <w:sz w:val="17"/>
          <w:szCs w:val="17"/>
        </w:rPr>
        <w:t>.</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Released under the </w:t>
      </w:r>
      <w:hyperlink r:id="rId6" w:history="1">
        <w:r>
          <w:rPr>
            <w:rFonts w:ascii="Times New Roman" w:eastAsia="Times New Roman" w:hAnsi="Times New Roman" w:cs="Times New Roman"/>
            <w:noProof w:val="0"/>
            <w:color w:val="0000EE"/>
            <w:sz w:val="17"/>
            <w:szCs w:val="17"/>
            <w:u w:val="single" w:color="0000EE"/>
          </w:rPr>
          <w:t>Creative Commons Attribution-NonCommercial-NoDerivatives 4.0 International</w:t>
        </w:r>
      </w:hyperlink>
      <w:r>
        <w:rPr>
          <w:rFonts w:ascii="Times New Roman" w:eastAsia="Times New Roman" w:hAnsi="Times New Roman" w:cs="Times New Roman"/>
          <w:noProof w:val="0"/>
          <w:sz w:val="17"/>
          <w:szCs w:val="17"/>
        </w:rPr>
        <w:t>.</w:t>
      </w:r>
    </w:p>
    <w:p>
      <w:pPr>
        <w:keepNext w:val="0"/>
        <w:spacing w:line="360" w:lineRule="auto"/>
        <w:jc w:val="both"/>
        <w:rPr>
          <w:sz w:val="20"/>
        </w:rPr>
      </w:pPr>
    </w:p>
    <w:sectPr>
      <w:headerReference w:type="default" r:id="rId7"/>
      <w:footerReference w:type="default" r:id="rId8"/>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sz w:val="16"/>
        </w:rPr>
        <w:t>1)</w:t>
      </w:r>
      <w:r>
        <w:rPr>
          <w:rFonts w:ascii="Times New Roman" w:eastAsia="Times New Roman" w:hAnsi="Times New Roman" w:cs="Times New Roman"/>
          <w:noProof w:val="0"/>
          <w:sz w:val="16"/>
          <w:szCs w:val="24"/>
        </w:rPr>
        <w:t> Mt 7:15</w:t>
      </w:r>
    </w:p>
  </w:footnote>
  <w:footnote w:id="3">
    <w:p>
      <w:pPr>
        <w:pStyle w:val="FootnoteText"/>
      </w:pPr>
      <w:r>
        <w:rPr>
          <w:rStyle w:val="FootnoteReference"/>
          <w:sz w:val="16"/>
        </w:rPr>
        <w:t>2)</w:t>
      </w:r>
      <w:r>
        <w:rPr>
          <w:rFonts w:ascii="Times New Roman" w:eastAsia="Times New Roman" w:hAnsi="Times New Roman" w:cs="Times New Roman"/>
          <w:noProof w:val="0"/>
          <w:sz w:val="16"/>
          <w:szCs w:val="24"/>
        </w:rPr>
        <w:t> dosłownie "kwardan" czyli czwarta część "asa", monety Starożytnego Rzymu. Mt 5:26.</w:t>
      </w:r>
    </w:p>
  </w:footnote>
  <w:footnote w:id="4">
    <w:p>
      <w:pPr>
        <w:pStyle w:val="FootnoteText"/>
      </w:pPr>
      <w:r>
        <w:rPr>
          <w:rStyle w:val="FootnoteReference"/>
          <w:sz w:val="16"/>
        </w:rPr>
        <w:t>3)</w:t>
      </w:r>
      <w:r>
        <w:rPr>
          <w:rFonts w:ascii="Times New Roman" w:eastAsia="Times New Roman" w:hAnsi="Times New Roman" w:cs="Times New Roman"/>
          <w:noProof w:val="0"/>
          <w:sz w:val="16"/>
          <w:szCs w:val="24"/>
        </w:rPr>
        <w:t xml:space="preserve"> Wj 20:13. </w:t>
      </w:r>
    </w:p>
  </w:footnote>
  <w:footnote w:id="5">
    <w:p>
      <w:pPr>
        <w:pStyle w:val="FootnoteText"/>
      </w:pPr>
      <w:r>
        <w:rPr>
          <w:rStyle w:val="FootnoteReference"/>
          <w:sz w:val="16"/>
        </w:rPr>
        <w:t>4)</w:t>
      </w:r>
      <w:r>
        <w:rPr>
          <w:rFonts w:ascii="Times New Roman" w:eastAsia="Times New Roman" w:hAnsi="Times New Roman" w:cs="Times New Roman"/>
          <w:noProof w:val="0"/>
          <w:sz w:val="16"/>
          <w:szCs w:val="24"/>
        </w:rPr>
        <w:t xml:space="preserve"> Wj 20:14. </w:t>
      </w:r>
    </w:p>
  </w:footnote>
  <w:footnote w:id="6">
    <w:p>
      <w:pPr>
        <w:pStyle w:val="FootnoteText"/>
      </w:pPr>
      <w:r>
        <w:rPr>
          <w:rStyle w:val="FootnoteReference"/>
          <w:sz w:val="16"/>
        </w:rPr>
        <w:t>7)</w:t>
      </w:r>
      <w:r>
        <w:rPr>
          <w:rFonts w:ascii="Times New Roman" w:eastAsia="Times New Roman" w:hAnsi="Times New Roman" w:cs="Times New Roman"/>
          <w:noProof w:val="0"/>
          <w:sz w:val="16"/>
          <w:szCs w:val="24"/>
        </w:rPr>
        <w:t xml:space="preserve"> Wj 20:16. </w:t>
      </w:r>
    </w:p>
  </w:footnote>
  <w:footnote w:id="7">
    <w:p>
      <w:pPr>
        <w:pStyle w:val="FootnoteText"/>
      </w:pPr>
      <w:r>
        <w:rPr>
          <w:rStyle w:val="FootnoteReference"/>
          <w:sz w:val="16"/>
        </w:rPr>
        <w:t>8)</w:t>
      </w:r>
      <w:r>
        <w:rPr>
          <w:rFonts w:ascii="Times New Roman" w:eastAsia="Times New Roman" w:hAnsi="Times New Roman" w:cs="Times New Roman"/>
          <w:noProof w:val="0"/>
          <w:sz w:val="16"/>
          <w:szCs w:val="24"/>
        </w:rPr>
        <w:t> Mt 5:5.</w:t>
      </w:r>
    </w:p>
  </w:footnote>
  <w:footnote w:id="8">
    <w:p>
      <w:pPr>
        <w:pStyle w:val="FootnoteText"/>
      </w:pPr>
      <w:r>
        <w:rPr>
          <w:rStyle w:val="FootnoteReference"/>
          <w:sz w:val="16"/>
        </w:rPr>
        <w:t>9)</w:t>
      </w:r>
      <w:r>
        <w:rPr>
          <w:rFonts w:ascii="Times New Roman" w:eastAsia="Times New Roman" w:hAnsi="Times New Roman" w:cs="Times New Roman"/>
          <w:noProof w:val="0"/>
          <w:sz w:val="16"/>
          <w:szCs w:val="24"/>
        </w:rPr>
        <w:t> Kol 3:22.</w:t>
      </w:r>
    </w:p>
  </w:footnote>
  <w:footnote w:id="9">
    <w:p>
      <w:pPr>
        <w:pStyle w:val="FootnoteText"/>
      </w:pPr>
      <w:r>
        <w:rPr>
          <w:rStyle w:val="FootnoteReference"/>
          <w:sz w:val="16"/>
        </w:rPr>
        <w:t>10)</w:t>
      </w:r>
      <w:r>
        <w:rPr>
          <w:rFonts w:ascii="Times New Roman" w:eastAsia="Times New Roman" w:hAnsi="Times New Roman" w:cs="Times New Roman"/>
          <w:noProof w:val="0"/>
          <w:sz w:val="16"/>
          <w:szCs w:val="24"/>
        </w:rPr>
        <w:t> 1Kor 10:20</w:t>
      </w:r>
    </w:p>
  </w:footnote>
  <w:footnote w:id="10">
    <w:p>
      <w:pPr>
        <w:pStyle w:val="FootnoteText"/>
      </w:pPr>
      <w:r>
        <w:rPr>
          <w:rStyle w:val="FootnoteReference"/>
          <w:sz w:val="16"/>
        </w:rPr>
        <w:t>11)</w:t>
      </w:r>
      <w:r>
        <w:rPr>
          <w:rFonts w:ascii="Times New Roman" w:eastAsia="Times New Roman" w:hAnsi="Times New Roman" w:cs="Times New Roman"/>
          <w:noProof w:val="0"/>
          <w:sz w:val="16"/>
          <w:szCs w:val="24"/>
        </w:rPr>
        <w:t> Mt 6:9-13.</w:t>
      </w:r>
    </w:p>
  </w:footnote>
  <w:footnote w:id="11">
    <w:p>
      <w:pPr>
        <w:pStyle w:val="FootnoteText"/>
      </w:pPr>
      <w:r>
        <w:rPr>
          <w:rStyle w:val="FootnoteReference"/>
          <w:sz w:val="16"/>
        </w:rPr>
        <w:t>12)</w:t>
      </w:r>
      <w:r>
        <w:rPr>
          <w:rFonts w:ascii="Times New Roman" w:eastAsia="Times New Roman" w:hAnsi="Times New Roman" w:cs="Times New Roman"/>
          <w:noProof w:val="0"/>
          <w:sz w:val="16"/>
          <w:szCs w:val="24"/>
        </w:rPr>
        <w:t> Mt 7:6.</w:t>
      </w:r>
    </w:p>
  </w:footnote>
  <w:footnote w:id="12">
    <w:p>
      <w:pPr>
        <w:pStyle w:val="FootnoteText"/>
      </w:pPr>
      <w:r>
        <w:rPr>
          <w:rStyle w:val="FootnoteReference"/>
          <w:sz w:val="16"/>
        </w:rPr>
        <w:t>13)</w:t>
      </w:r>
      <w:r>
        <w:rPr>
          <w:rFonts w:ascii="Times New Roman" w:eastAsia="Times New Roman" w:hAnsi="Times New Roman" w:cs="Times New Roman"/>
          <w:noProof w:val="0"/>
          <w:sz w:val="16"/>
          <w:szCs w:val="24"/>
        </w:rPr>
        <w:t> Br. Mus. Or. 9271 - wiersz 8 i 9 stanowi koptyjski fragment dotyczący maści.</w:t>
      </w:r>
    </w:p>
  </w:footnote>
  <w:footnote w:id="13">
    <w:p>
      <w:pPr>
        <w:pStyle w:val="FootnoteText"/>
      </w:pPr>
      <w:r>
        <w:rPr>
          <w:rStyle w:val="FootnoteReference"/>
          <w:sz w:val="16"/>
        </w:rPr>
        <w:t>14)</w:t>
      </w:r>
      <w:r>
        <w:rPr>
          <w:rFonts w:ascii="Times New Roman" w:eastAsia="Times New Roman" w:hAnsi="Times New Roman" w:cs="Times New Roman"/>
          <w:noProof w:val="0"/>
          <w:sz w:val="16"/>
          <w:szCs w:val="24"/>
        </w:rPr>
        <w:t> 2J 1:10.</w:t>
      </w:r>
    </w:p>
  </w:footnote>
  <w:footnote w:id="14">
    <w:p>
      <w:pPr>
        <w:pStyle w:val="FootnoteText"/>
      </w:pPr>
      <w:r>
        <w:rPr>
          <w:rStyle w:val="FootnoteReference"/>
          <w:sz w:val="16"/>
        </w:rPr>
        <w:t>15)</w:t>
      </w:r>
      <w:r>
        <w:rPr>
          <w:rFonts w:ascii="Times New Roman" w:eastAsia="Times New Roman" w:hAnsi="Times New Roman" w:cs="Times New Roman"/>
          <w:noProof w:val="0"/>
          <w:sz w:val="16"/>
          <w:szCs w:val="24"/>
        </w:rPr>
        <w:t> Mt 12:32.</w:t>
      </w:r>
    </w:p>
  </w:footnote>
  <w:footnote w:id="15">
    <w:p>
      <w:pPr>
        <w:pStyle w:val="FootnoteText"/>
      </w:pPr>
      <w:r>
        <w:rPr>
          <w:rStyle w:val="FootnoteReference"/>
          <w:sz w:val="16"/>
        </w:rPr>
        <w:t>16)</w:t>
      </w:r>
      <w:r>
        <w:rPr>
          <w:rFonts w:ascii="Times New Roman" w:eastAsia="Times New Roman" w:hAnsi="Times New Roman" w:cs="Times New Roman"/>
          <w:noProof w:val="0"/>
          <w:sz w:val="16"/>
          <w:szCs w:val="24"/>
        </w:rPr>
        <w:t> 1Tm 5:18.</w:t>
      </w:r>
    </w:p>
  </w:footnote>
  <w:footnote w:id="16">
    <w:p>
      <w:pPr>
        <w:pStyle w:val="FootnoteText"/>
      </w:pPr>
      <w:r>
        <w:rPr>
          <w:rStyle w:val="FootnoteReference"/>
          <w:sz w:val="16"/>
        </w:rPr>
        <w:t>17)</w:t>
      </w:r>
      <w:r>
        <w:rPr>
          <w:rFonts w:ascii="Times New Roman" w:eastAsia="Times New Roman" w:hAnsi="Times New Roman" w:cs="Times New Roman"/>
          <w:noProof w:val="0"/>
          <w:sz w:val="16"/>
          <w:szCs w:val="24"/>
        </w:rPr>
        <w:t> zapewne "w dzień Pański" czyli w niedzielę.</w:t>
      </w:r>
    </w:p>
  </w:footnote>
  <w:footnote w:id="17">
    <w:p>
      <w:pPr>
        <w:pStyle w:val="FootnoteText"/>
      </w:pPr>
      <w:r>
        <w:rPr>
          <w:rStyle w:val="FootnoteReference"/>
          <w:sz w:val="16"/>
        </w:rPr>
        <w:t>18)</w:t>
      </w:r>
      <w:r>
        <w:rPr>
          <w:rFonts w:ascii="Times New Roman" w:eastAsia="Times New Roman" w:hAnsi="Times New Roman" w:cs="Times New Roman"/>
          <w:noProof w:val="0"/>
          <w:sz w:val="16"/>
          <w:szCs w:val="24"/>
        </w:rPr>
        <w:t xml:space="preserve"> Ml 1:11-14. </w:t>
      </w:r>
    </w:p>
  </w:footnote>
  <w:footnote w:id="18">
    <w:p>
      <w:pPr>
        <w:pStyle w:val="FootnoteText"/>
      </w:pPr>
      <w:r>
        <w:rPr>
          <w:rStyle w:val="FootnoteReference"/>
          <w:sz w:val="16"/>
        </w:rPr>
        <w:t>19)</w:t>
      </w:r>
      <w:r>
        <w:rPr>
          <w:rFonts w:ascii="Times New Roman" w:eastAsia="Times New Roman" w:hAnsi="Times New Roman" w:cs="Times New Roman"/>
          <w:noProof w:val="0"/>
          <w:sz w:val="16"/>
          <w:szCs w:val="24"/>
        </w:rPr>
        <w:t> Mt 25:13.</w:t>
      </w:r>
    </w:p>
  </w:footnote>
  <w:footnote w:id="19">
    <w:p>
      <w:pPr>
        <w:pStyle w:val="FootnoteText"/>
      </w:pPr>
      <w:r>
        <w:rPr>
          <w:rStyle w:val="FootnoteReference"/>
          <w:sz w:val="16"/>
        </w:rPr>
        <w:t>21)</w:t>
      </w:r>
      <w:r>
        <w:rPr>
          <w:rFonts w:ascii="Times New Roman" w:eastAsia="Times New Roman" w:hAnsi="Times New Roman" w:cs="Times New Roman"/>
          <w:noProof w:val="0"/>
          <w:sz w:val="16"/>
          <w:szCs w:val="24"/>
        </w:rPr>
        <w:t> Mt 24:24, Mk 13:22.</w:t>
      </w:r>
    </w:p>
  </w:footnote>
  <w:footnote w:id="20">
    <w:p>
      <w:pPr>
        <w:pStyle w:val="FootnoteText"/>
      </w:pPr>
      <w:r>
        <w:rPr>
          <w:rStyle w:val="FootnoteReference"/>
          <w:sz w:val="16"/>
        </w:rPr>
        <w:t>22)</w:t>
      </w:r>
      <w:r>
        <w:rPr>
          <w:rFonts w:ascii="Times New Roman" w:eastAsia="Times New Roman" w:hAnsi="Times New Roman" w:cs="Times New Roman"/>
          <w:noProof w:val="0"/>
          <w:sz w:val="16"/>
          <w:szCs w:val="24"/>
        </w:rPr>
        <w:t> Mt 24:12.</w:t>
      </w:r>
    </w:p>
  </w:footnote>
  <w:footnote w:id="21">
    <w:p>
      <w:pPr>
        <w:pStyle w:val="FootnoteText"/>
      </w:pPr>
      <w:r>
        <w:rPr>
          <w:rStyle w:val="FootnoteReference"/>
          <w:sz w:val="16"/>
        </w:rPr>
        <w:t>23)</w:t>
      </w:r>
      <w:r>
        <w:rPr>
          <w:rFonts w:ascii="Times New Roman" w:eastAsia="Times New Roman" w:hAnsi="Times New Roman" w:cs="Times New Roman"/>
          <w:noProof w:val="0"/>
          <w:sz w:val="16"/>
          <w:szCs w:val="24"/>
        </w:rPr>
        <w:t> Mt 24:10.</w:t>
      </w:r>
    </w:p>
  </w:footnote>
  <w:footnote w:id="22">
    <w:p>
      <w:pPr>
        <w:pStyle w:val="FootnoteText"/>
      </w:pPr>
      <w:r>
        <w:rPr>
          <w:rStyle w:val="FootnoteReference"/>
          <w:sz w:val="16"/>
        </w:rPr>
        <w:t>25)</w:t>
      </w:r>
      <w:r>
        <w:rPr>
          <w:rFonts w:ascii="Times New Roman" w:eastAsia="Times New Roman" w:hAnsi="Times New Roman" w:cs="Times New Roman"/>
          <w:noProof w:val="0"/>
          <w:sz w:val="16"/>
          <w:szCs w:val="24"/>
        </w:rPr>
        <w:t> Rz 9:33.</w:t>
      </w:r>
    </w:p>
  </w:footnote>
  <w:footnote w:id="23">
    <w:p>
      <w:pPr>
        <w:pStyle w:val="FootnoteText"/>
      </w:pPr>
      <w:r>
        <w:rPr>
          <w:rStyle w:val="FootnoteReference"/>
          <w:sz w:val="16"/>
        </w:rPr>
        <w:t>26)</w:t>
      </w:r>
      <w:r>
        <w:rPr>
          <w:rFonts w:ascii="Times New Roman" w:eastAsia="Times New Roman" w:hAnsi="Times New Roman" w:cs="Times New Roman"/>
          <w:noProof w:val="0"/>
          <w:sz w:val="16"/>
          <w:szCs w:val="24"/>
        </w:rPr>
        <w:t> 1Tes 4:16.</w:t>
      </w:r>
    </w:p>
  </w:footnote>
  <w:footnote w:id="24">
    <w:p>
      <w:pPr>
        <w:pStyle w:val="FootnoteText"/>
      </w:pPr>
      <w:r>
        <w:rPr>
          <w:rStyle w:val="FootnoteReference"/>
          <w:sz w:val="16"/>
        </w:rPr>
        <w:t>27)</w:t>
      </w:r>
      <w:r>
        <w:rPr>
          <w:rFonts w:ascii="Times New Roman" w:eastAsia="Times New Roman" w:hAnsi="Times New Roman" w:cs="Times New Roman"/>
          <w:noProof w:val="0"/>
          <w:sz w:val="16"/>
          <w:szCs w:val="24"/>
        </w:rPr>
        <w:t> Jud 1:14, Mt 16:27.</w:t>
      </w:r>
    </w:p>
  </w:footnote>
  <w:footnote w:id="25">
    <w:p>
      <w:pPr>
        <w:pStyle w:val="FootnoteText"/>
      </w:pPr>
      <w:r>
        <w:rPr>
          <w:rStyle w:val="FootnoteReference"/>
          <w:sz w:val="16"/>
        </w:rPr>
        <w:t>28)</w:t>
      </w:r>
      <w:r>
        <w:rPr>
          <w:rFonts w:ascii="Times New Roman" w:eastAsia="Times New Roman" w:hAnsi="Times New Roman" w:cs="Times New Roman"/>
          <w:noProof w:val="0"/>
          <w:sz w:val="16"/>
          <w:szCs w:val="24"/>
        </w:rPr>
        <w:t> Mt 26:64.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Nowodworski Dosłowny Przekład Didache</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Nauka Dwunastu Apostołów</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hyperlink" Target="http://radzimski.pl" TargetMode="External" />
	<Relationship Id="rId6" Type="http://schemas.openxmlformats.org/officeDocument/2006/relationships/hyperlink" Target="https://creativecommons.org/licenses/by-nc-nd/4.0/legalcode" TargetMode="External" />
	<Relationship Id="rId7" Type="http://schemas.openxmlformats.org/officeDocument/2006/relationships/header" Target="header1.xml" />
	<Relationship Id="rId8" Type="http://schemas.openxmlformats.org/officeDocument/2006/relationships/footer" Target="footer1.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2024-05-01T21:52:44Z</dcterms:modified>
</cp:coreProperties>
</file>