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Wyjścia</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są prawa, które im przedstawisz: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kupisz ebrejskiego niewolnika niech ci służy sześć lat, a siódmego wyjdzie na wolność, darmo.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sam jeden przyszedł niech sam jeden wyjdzie. Zaś jeśli byłby żonaty, niech z nim wyjdzie też jego żona.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pan dał mu żonę i urodziła mu synów, lub córki żona ze swoimi dziećmi zostaną przy jej panu, a on sam jeden wyjdzie.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niewolnik powie: Miłuję mojego pana, żonę i moje dzieci nie wyjdę na wolność.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jego pan przyprowadzi go przed sędziów, postawi go przy drzwiach, albo przy odrzwiach, po czym jego pan przekłuje mu szydłem ucho, i będzie mu służył na zawsze.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mąż zaprzedał swoją córkę na nałożnicę, to ona nie wyjdzie tak, jak wychodzą niewolnicy.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znajduje upodobania w oczach swojego pana, który ją dla siebie przeznaczył to niech jej pomoże się wykupić; gdy nią wzgardzi nie jest władny ją sprzedać obcym ludziom.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ją przeznaczy dla swojego syna to niech z nią postępuje według prawa dziewic.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weźmie dla niego inną wtedy nie pozbawi jej pożywienia, odzieży oraz małżeńskiego pożycia.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jej nie dopełni tych trzech warunków to wyjdzie darmo, bez okupu.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pobije człowieka na śmierć będzie ukarany śmiercią.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kto nie czyhał, ale Bóg tak poddał drugiego pod jego rękę to wyznaczę ci miejsce dokąd ma uciec.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ktoś czyhał na bliźniego i zabił go zdradziecko weźmiesz go od Mojego ołtarza na stracenie.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uderzy swojego ojca, albo swoją matkę będzie ukarany śmiercią.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wykradnie człowieka czy go sprzeda, czy też znajdzie się pod jego władzą będzie ukarany śmiercią.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przeklina swojego ojca, albo swoją matkę będzie ukarany śmiercią.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ludzie się pokłócą i jeden drugiego uderzy kamieniem, lub pięścią i nie umrze, ale padnie na łoże;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jeśli wstanie i o swej kuli będzie się przechadzał po ulicy ten, kto go uderzył będzie uwolniony; jednak go wynagrodzi za zmarnowanie czasu oraz da środki, aby go zupełnie wyleczyć.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pobije kijem swojego niewolnika, albo swoją służebnicę i umrze pod jego ręką to niech to będzie pomszczone.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gdyby dzień, albo dwa dni przeżył nie należy brać pomsty, bowiem za jego pieniądz był kupiony.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się ludzie będą spierać i ktoś uderzy brzemienną kobietę tak, że zostanie poroniony jej płód, zaś inny wypadek nie zajdzie wtedy ten ktoś poniesie karę pieniężną, jaką nałoży na niego mąż tej kobiety, albo zapłaci według wyroku sędziów.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zajdzie wypadek, wtedy ustanowisz życie za życie).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oko to za oko, jeśli ząb to za ząb, jeśli ręka to za rękę, jeśli noga to za nogę;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oparzelina to za oparzelinę, jeśli rana to za ranę, jeżeli siniec to za siniec.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uderzy w oko swojego niewolnika, albo w oko swojej służebnicy i je uszkodzi to za jego oko wypuści go na wolność.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jeśli wybije ząb swojego niewolnika, albo ząb swojej służebnicy to za ząb wypuści go na wolność.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byk zabodzie na śmierć mężczyznę, albo kobietę to należy ukamienować byka i nie jeść jego mięsa; a właściciel byka jest wolny.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jeśli to był byk bodliwy od wczoraj i przedwczoraj, i ostrzeżono o tym jego właściciela, a go nie pilnował, więc zabił kobietę, albo mężczyznę to byk będzie ukamienowany, a nadto i jego właściciel stracony.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włożono na niego cenę życia wtedy da okup za swoją duszę, jaki zostanie na niego nałożony.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zabodzie chłopca, czy też zabodzie dziewczynę postąpią z nim według tego prawa.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byk zabodzie niewolnika, albo służebnicę właściciel byka da ich panu trzydzieści szekli srebra, a byk zostanie ukamienowany.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otworzy jamę, lub jeśli ktoś wykopał studnię i jej nie przykrył, a wpadnie tam byk, lub osioł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 winny tej studni zapłaci; niech zwróci jego właścicielowi pieniądze, a zabity niechaj do niego należy.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czyjś byk ubódł byka sąsiada i by zdechł to sprzedadzą żywego byka i podzielą się jego ceną; także podzielą się zabitym.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było wiadomo, że to byk bodliwy od wczoraj i przedwczoraj, a jego właściciel go nie pilnował to powinien oddać byka za byka; a zabity niech do niego należy.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ukradł byka, albo jagnię i je zarżnął, albo je sprzedał to odda za byka pięć byków, lub cztery owce za jagnię.</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Wyjścia Rozdział 21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2024-04-20T05:03:19Z</dcterms:modified>
</cp:coreProperties>
</file>