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7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36:5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36:6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36:7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8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περιστραφήσεται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peristrafesetai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9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36:8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ἀγχιστεύουσα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anchisteuusa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ἀγχιστεύσωσιν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36:9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8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περιστραφήσεται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peristrafesetai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9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36:10</w:t>
                  </w:r>
                </w:p>
              </w:txbxContent>
            </v:textbox>
          </v:shape>
        </w:pict>
      </w:r>
      <w:r>
        <w:pict>
          <v:shape id="_x0000_i12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36:11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ἀνεψιοῖς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36:12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36:13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2024-05-21T10:30:59Z</dcterms:modified>
</cp:coreProperties>
</file>