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συναθροίζονται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synathroidzontai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8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Αβενεζερ,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Abenedzer,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8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paremballusin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παρατάσσονται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paratassontai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ἔπταισεν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eptaisen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ἐπλήγησαν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eplegesan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ἔπταισεν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eptaisen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λάβωμεν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χερουβιμ·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cherubim;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ἀνέκραξεν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anekraksen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τοιαύτη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πατάξαντες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60" type="#_x0000_t202" style="width:6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κραταιοῦσθε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γίνεσθε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δουλεύσητε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ἐπολέμησαν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epolemesan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σκήνωμα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ταγμάτων.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tagmaton.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ἐλήμφθη,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elemfthe,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Ιεμιναῖος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Ieminaios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διερρηγότα,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dierregota,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δίφρου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difru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ἐξεστηκυῖα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ἀπαγγεῖλαι,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apangeilai,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ἀνεβόησεν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7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ἐπανέστησαν,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epanestesan,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ἔβλεπεν·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eblepen;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7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περιεστηκόσιν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periestekosin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πέφευγα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pefeuga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6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Πέφευγεν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Pefeugen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ἀμφότεροι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τεθνήκασιν,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ἐλήμφθη.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elemfthe.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δίφρου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difru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ὀπισθίως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συνετρίβη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πρεσβύτης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νύμφη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Φινεες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Finees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6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συνειληφυῖα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syneilefyia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ἀγγελίαν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ἐλήμφθη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τέθνηκεν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7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ὠδῖνες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7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παρεστηκυῖαι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parestekyiai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τέτοκας·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tetokas;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παιδάριον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βαρχαβωθ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barchaboth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πενθεροῦ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Ἀπῴκισται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λημφθῆναι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2024-05-15T15:16:48Z</dcterms:modified>
</cp:coreProperties>
</file>